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stylesWithEffects.xml" ContentType="application/vnd.ms-word.stylesWithEffects+xml"/>
  <Override PartName="/word/footer4.xml" ContentType="application/vnd.openxmlformats-officedocument.wordprocessingml.footer+xml"/>
  <Override PartName="/word/header1.xml" ContentType="application/vnd.openxmlformats-officedocument.wordprocessingml.header+xml"/>
  <Override PartName="/customXml/itemProps4.xml" ContentType="application/vnd.openxmlformats-officedocument.customXmlProperties+xml"/>
  <Override PartName="/word/endnotes.xml" ContentType="application/vnd.openxmlformats-officedocument.wordprocessingml.endnotes+xml"/>
  <Override PartName="/word/footer6.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Default Extension="xml" ContentType="application/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customXml/itemProps1.xml" ContentType="application/vnd.openxmlformats-officedocument.customXmlProperties+xml"/>
  <Override PartName="/word/theme/theme1.xml" ContentType="application/vnd.openxmlformats-officedocument.theme+xml"/>
  <Override PartName="/docProps/app.xml" ContentType="application/vnd.openxmlformats-officedocument.extended-properties+xml"/>
  <Override PartName="/word/footer3.xml" ContentType="application/vnd.openxmlformats-officedocument.wordprocessingml.footer+xml"/>
  <Override PartName="/customXml/itemProps3.xml" ContentType="application/vnd.openxmlformats-officedocument.customXmlProperties+xml"/>
  <Override PartName="/word/footer5.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header4.xml" ContentType="application/vnd.openxmlformats-officedocument.wordprocessingml.header+xml"/>
  <Override PartName="/word/styles.xml" ContentType="application/vnd.openxmlformats-officedocument.wordprocessingml.styles+xml"/>
  <Override PartName="/docProps/custom.xml" ContentType="application/vnd.openxmlformats-officedocument.custom-properties+xml"/>
  <Override PartName="/word/header6.xml" ContentType="application/vnd.openxmlformats-officedocument.wordprocessingml.header+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B5E" w:rsidRPr="00E76876" w:rsidRDefault="003129E8" w:rsidP="00DD6B5E">
      <w:pPr>
        <w:jc w:val="right"/>
        <w:rPr>
          <w:rFonts w:cs="Arial"/>
          <w:b/>
          <w:sz w:val="48"/>
          <w:szCs w:val="48"/>
        </w:rPr>
      </w:pPr>
      <w:bookmarkStart w:id="0" w:name="_GoBack"/>
      <w:bookmarkStart w:id="1" w:name="_Toc153189646"/>
      <w:bookmarkEnd w:id="0"/>
      <w:r w:rsidRPr="00AC6C3F">
        <w:rPr>
          <w:rFonts w:cs="Arial"/>
          <w:b/>
          <w:sz w:val="48"/>
          <w:szCs w:val="48"/>
        </w:rPr>
        <w:t>Work Paper</w:t>
      </w:r>
      <w:bookmarkEnd w:id="1"/>
      <w:r w:rsidR="00E15A06">
        <w:rPr>
          <w:rFonts w:cs="Arial"/>
          <w:b/>
          <w:sz w:val="48"/>
          <w:szCs w:val="48"/>
        </w:rPr>
        <w:t xml:space="preserve"> Abstract</w:t>
      </w:r>
      <w:r w:rsidR="00560E6F">
        <w:rPr>
          <w:rFonts w:cs="Arial"/>
          <w:b/>
          <w:color w:val="FF0000"/>
          <w:sz w:val="48"/>
          <w:szCs w:val="48"/>
        </w:rPr>
        <w:t xml:space="preserve"> </w:t>
      </w:r>
    </w:p>
    <w:p w:rsidR="00802C18" w:rsidRDefault="00891836" w:rsidP="002E0043">
      <w:pPr>
        <w:jc w:val="right"/>
        <w:rPr>
          <w:rFonts w:cs="Arial"/>
          <w:b/>
          <w:sz w:val="48"/>
          <w:szCs w:val="48"/>
        </w:rPr>
      </w:pPr>
      <w:bookmarkStart w:id="2" w:name="_Toc153189647"/>
      <w:r>
        <w:rPr>
          <w:rFonts w:cs="Arial"/>
          <w:b/>
          <w:color w:val="FF0000"/>
          <w:sz w:val="48"/>
          <w:szCs w:val="48"/>
        </w:rPr>
        <w:t>Commercial Lighting</w:t>
      </w:r>
    </w:p>
    <w:p w:rsidR="003129E8" w:rsidRPr="002E0043" w:rsidRDefault="003129E8" w:rsidP="002E0043">
      <w:pPr>
        <w:jc w:val="right"/>
        <w:rPr>
          <w:rFonts w:cs="Arial"/>
          <w:b/>
          <w:sz w:val="48"/>
          <w:szCs w:val="48"/>
        </w:rPr>
      </w:pPr>
      <w:r w:rsidRPr="002E0043">
        <w:rPr>
          <w:rFonts w:cs="Arial"/>
          <w:b/>
          <w:sz w:val="48"/>
          <w:szCs w:val="48"/>
        </w:rPr>
        <w:t>Revision #</w:t>
      </w:r>
      <w:bookmarkEnd w:id="2"/>
      <w:r w:rsidR="00D7047A" w:rsidRPr="00E76876">
        <w:rPr>
          <w:rFonts w:cs="Arial"/>
          <w:b/>
          <w:sz w:val="48"/>
          <w:szCs w:val="48"/>
        </w:rPr>
        <w:t xml:space="preserve"> </w:t>
      </w:r>
      <w:r w:rsidR="00891836">
        <w:rPr>
          <w:rFonts w:cs="Arial"/>
          <w:b/>
          <w:color w:val="FF0000"/>
          <w:sz w:val="48"/>
          <w:szCs w:val="48"/>
        </w:rPr>
        <w:t>0</w:t>
      </w:r>
    </w:p>
    <w:p w:rsidR="003129E8" w:rsidRDefault="003129E8" w:rsidP="003129E8"/>
    <w:p w:rsidR="00D7047A" w:rsidRPr="002E0043" w:rsidRDefault="00741DF0" w:rsidP="00D7047A">
      <w:pPr>
        <w:pBdr>
          <w:bottom w:val="single" w:sz="4" w:space="1" w:color="auto"/>
        </w:pBdr>
        <w:rPr>
          <w:rFonts w:cs="Arial"/>
          <w:b/>
          <w:sz w:val="36"/>
          <w:szCs w:val="36"/>
        </w:rPr>
      </w:pPr>
      <w:r>
        <w:rPr>
          <w:rFonts w:cs="Arial"/>
          <w:b/>
          <w:sz w:val="36"/>
          <w:szCs w:val="36"/>
        </w:rPr>
        <w:t>California Technical Forum</w:t>
      </w:r>
    </w:p>
    <w:p w:rsidR="00D7047A" w:rsidRPr="002E0043" w:rsidRDefault="00354568" w:rsidP="00D7047A">
      <w:pPr>
        <w:rPr>
          <w:rFonts w:cs="Arial"/>
          <w:b/>
          <w:sz w:val="32"/>
          <w:szCs w:val="32"/>
        </w:rPr>
      </w:pPr>
      <w:r>
        <w:rPr>
          <w:rFonts w:cs="Arial"/>
          <w:b/>
          <w:sz w:val="32"/>
          <w:szCs w:val="32"/>
        </w:rPr>
        <w:t xml:space="preserve">WP Abstract </w:t>
      </w:r>
      <w:r w:rsidR="00741DF0">
        <w:rPr>
          <w:rFonts w:cs="Arial"/>
          <w:b/>
          <w:sz w:val="32"/>
          <w:szCs w:val="32"/>
        </w:rPr>
        <w:t>Prepared by:</w:t>
      </w:r>
      <w:r w:rsidR="00661864">
        <w:rPr>
          <w:rFonts w:cs="Arial"/>
          <w:b/>
          <w:sz w:val="32"/>
          <w:szCs w:val="32"/>
        </w:rPr>
        <w:t xml:space="preserve"> </w:t>
      </w:r>
      <w:r w:rsidR="00891836">
        <w:rPr>
          <w:rFonts w:cs="Arial"/>
          <w:b/>
          <w:color w:val="FF0000"/>
          <w:sz w:val="32"/>
          <w:szCs w:val="32"/>
        </w:rPr>
        <w:t>Alina Zohrabian, PG&amp;E TPS</w:t>
      </w:r>
    </w:p>
    <w:p w:rsidR="00E34E73" w:rsidRDefault="00E34E73" w:rsidP="00324D0F">
      <w:pPr>
        <w:rPr>
          <w:rFonts w:cs="Arial"/>
          <w:b/>
          <w:highlight w:val="cyan"/>
        </w:rPr>
      </w:pPr>
    </w:p>
    <w:p w:rsidR="00C274E0" w:rsidRDefault="00C274E0" w:rsidP="00324D0F">
      <w:pPr>
        <w:rPr>
          <w:rFonts w:cs="Arial"/>
          <w:b/>
          <w:highlight w:val="cyan"/>
        </w:rPr>
      </w:pPr>
    </w:p>
    <w:p w:rsidR="00C274E0" w:rsidRDefault="00C274E0" w:rsidP="00324D0F">
      <w:pPr>
        <w:rPr>
          <w:rFonts w:cs="Arial"/>
          <w:b/>
          <w:highlight w:val="cyan"/>
        </w:rPr>
      </w:pPr>
    </w:p>
    <w:p w:rsidR="00324D0F" w:rsidRPr="00C274E0" w:rsidRDefault="00324D0F" w:rsidP="00324D0F">
      <w:pPr>
        <w:rPr>
          <w:rFonts w:cs="Arial"/>
          <w:b/>
          <w:bCs/>
          <w:i/>
        </w:rPr>
      </w:pPr>
    </w:p>
    <w:p w:rsidR="00324D0F" w:rsidRPr="00B845D5" w:rsidRDefault="00891836" w:rsidP="00A167EC">
      <w:pPr>
        <w:ind w:right="-720"/>
        <w:rPr>
          <w:rFonts w:cs="Arial"/>
          <w:b/>
          <w:color w:val="FF0000"/>
          <w:sz w:val="56"/>
          <w:szCs w:val="56"/>
        </w:rPr>
      </w:pPr>
      <w:r>
        <w:rPr>
          <w:rFonts w:cs="Arial"/>
          <w:b/>
          <w:color w:val="FF0000"/>
          <w:sz w:val="56"/>
          <w:szCs w:val="56"/>
        </w:rPr>
        <w:t>LED Panels</w:t>
      </w:r>
    </w:p>
    <w:p w:rsidR="00CB3583" w:rsidRDefault="00E15A06" w:rsidP="002E0043">
      <w:pPr>
        <w:rPr>
          <w:rFonts w:cs="Arial"/>
          <w:b/>
          <w:i/>
          <w:sz w:val="32"/>
          <w:szCs w:val="32"/>
        </w:rPr>
      </w:pPr>
      <w:r w:rsidRPr="00E15A06">
        <w:rPr>
          <w:rFonts w:cs="Arial"/>
          <w:b/>
          <w:i/>
          <w:sz w:val="32"/>
          <w:szCs w:val="32"/>
        </w:rPr>
        <w:t>Abstract</w:t>
      </w:r>
    </w:p>
    <w:p w:rsidR="00540D0B" w:rsidRDefault="00540D0B" w:rsidP="002E0043">
      <w:pPr>
        <w:rPr>
          <w:rFonts w:cs="Arial"/>
          <w:b/>
          <w:i/>
          <w:sz w:val="32"/>
          <w:szCs w:val="32"/>
        </w:rPr>
      </w:pPr>
    </w:p>
    <w:tbl>
      <w:tblPr>
        <w:tblStyle w:val="LightGrid-Accent5"/>
        <w:tblW w:w="0" w:type="auto"/>
        <w:tblLook w:val="04A0"/>
      </w:tblPr>
      <w:tblGrid>
        <w:gridCol w:w="3489"/>
        <w:gridCol w:w="1547"/>
        <w:gridCol w:w="1522"/>
        <w:gridCol w:w="1023"/>
        <w:gridCol w:w="1275"/>
      </w:tblGrid>
      <w:tr w:rsidR="00717D1D" w:rsidRPr="00C636BA">
        <w:trPr>
          <w:cnfStyle w:val="100000000000"/>
          <w:trHeight w:val="250"/>
        </w:trPr>
        <w:tc>
          <w:tcPr>
            <w:cnfStyle w:val="001000000000"/>
            <w:tcW w:w="8856" w:type="dxa"/>
            <w:gridSpan w:val="5"/>
            <w:vAlign w:val="center"/>
          </w:tcPr>
          <w:p w:rsidR="00717D1D" w:rsidRPr="00C636BA" w:rsidRDefault="00717D1D" w:rsidP="00540D0B">
            <w:pPr>
              <w:jc w:val="center"/>
              <w:rPr>
                <w:rFonts w:cs="Arial"/>
                <w:szCs w:val="22"/>
              </w:rPr>
            </w:pPr>
            <w:r w:rsidRPr="00C636BA">
              <w:rPr>
                <w:rFonts w:cs="Arial"/>
                <w:szCs w:val="22"/>
              </w:rPr>
              <w:t>WP Abstract Tracking Log</w:t>
            </w:r>
          </w:p>
        </w:tc>
      </w:tr>
      <w:tr w:rsidR="00717D1D" w:rsidRPr="00C636BA">
        <w:trPr>
          <w:cnfStyle w:val="000000100000"/>
          <w:trHeight w:val="265"/>
        </w:trPr>
        <w:tc>
          <w:tcPr>
            <w:cnfStyle w:val="001000000000"/>
            <w:tcW w:w="3505" w:type="dxa"/>
            <w:vAlign w:val="center"/>
          </w:tcPr>
          <w:p w:rsidR="00717D1D" w:rsidRPr="00C636BA" w:rsidRDefault="00717D1D" w:rsidP="00540D0B">
            <w:pPr>
              <w:rPr>
                <w:rFonts w:cs="Arial"/>
                <w:szCs w:val="22"/>
              </w:rPr>
            </w:pPr>
          </w:p>
        </w:tc>
        <w:tc>
          <w:tcPr>
            <w:tcW w:w="1553" w:type="dxa"/>
            <w:vAlign w:val="center"/>
          </w:tcPr>
          <w:p w:rsidR="00717D1D" w:rsidRPr="00C636BA" w:rsidRDefault="00717D1D" w:rsidP="00802C18">
            <w:pPr>
              <w:jc w:val="center"/>
              <w:cnfStyle w:val="000000100000"/>
              <w:rPr>
                <w:rFonts w:cs="Arial"/>
                <w:b/>
                <w:szCs w:val="22"/>
              </w:rPr>
            </w:pPr>
            <w:r w:rsidRPr="00C636BA">
              <w:rPr>
                <w:rFonts w:cs="Arial"/>
                <w:b/>
                <w:szCs w:val="22"/>
              </w:rPr>
              <w:t>Date</w:t>
            </w:r>
            <w:r w:rsidR="00802C18" w:rsidRPr="00C636BA">
              <w:rPr>
                <w:rFonts w:cs="Arial"/>
                <w:b/>
                <w:szCs w:val="22"/>
              </w:rPr>
              <w:t xml:space="preserve"> Issued</w:t>
            </w:r>
          </w:p>
        </w:tc>
        <w:tc>
          <w:tcPr>
            <w:tcW w:w="1530" w:type="dxa"/>
            <w:vAlign w:val="center"/>
          </w:tcPr>
          <w:p w:rsidR="00717D1D" w:rsidRPr="00C636BA" w:rsidRDefault="00717D1D" w:rsidP="00802C18">
            <w:pPr>
              <w:jc w:val="center"/>
              <w:cnfStyle w:val="000000100000"/>
              <w:rPr>
                <w:rFonts w:cs="Arial"/>
                <w:b/>
                <w:szCs w:val="22"/>
              </w:rPr>
            </w:pPr>
            <w:r w:rsidRPr="00C636BA">
              <w:rPr>
                <w:rFonts w:cs="Arial"/>
                <w:b/>
                <w:szCs w:val="22"/>
              </w:rPr>
              <w:t xml:space="preserve">Due </w:t>
            </w:r>
            <w:r w:rsidR="00802C18" w:rsidRPr="00C636BA">
              <w:rPr>
                <w:rFonts w:cs="Arial"/>
                <w:b/>
                <w:szCs w:val="22"/>
              </w:rPr>
              <w:t>B</w:t>
            </w:r>
            <w:r w:rsidRPr="00C636BA">
              <w:rPr>
                <w:rFonts w:cs="Arial"/>
                <w:b/>
                <w:szCs w:val="22"/>
              </w:rPr>
              <w:t>y</w:t>
            </w:r>
          </w:p>
        </w:tc>
        <w:tc>
          <w:tcPr>
            <w:tcW w:w="990" w:type="dxa"/>
            <w:vAlign w:val="center"/>
          </w:tcPr>
          <w:p w:rsidR="00717D1D" w:rsidRPr="00C636BA" w:rsidRDefault="00717D1D" w:rsidP="00802C18">
            <w:pPr>
              <w:jc w:val="center"/>
              <w:cnfStyle w:val="000000100000"/>
              <w:rPr>
                <w:rFonts w:cs="Arial"/>
                <w:b/>
                <w:szCs w:val="22"/>
              </w:rPr>
            </w:pPr>
            <w:r w:rsidRPr="00C636BA">
              <w:rPr>
                <w:rFonts w:cs="Arial"/>
                <w:b/>
                <w:szCs w:val="22"/>
              </w:rPr>
              <w:t>Version</w:t>
            </w:r>
          </w:p>
        </w:tc>
        <w:tc>
          <w:tcPr>
            <w:tcW w:w="1278" w:type="dxa"/>
            <w:vAlign w:val="center"/>
          </w:tcPr>
          <w:p w:rsidR="00717D1D" w:rsidRPr="00C636BA" w:rsidRDefault="00717D1D" w:rsidP="00802C18">
            <w:pPr>
              <w:jc w:val="center"/>
              <w:cnfStyle w:val="000000100000"/>
              <w:rPr>
                <w:rFonts w:cs="Arial"/>
                <w:b/>
                <w:szCs w:val="22"/>
              </w:rPr>
            </w:pPr>
            <w:r w:rsidRPr="00C636BA">
              <w:rPr>
                <w:rFonts w:cs="Arial"/>
                <w:b/>
                <w:szCs w:val="22"/>
              </w:rPr>
              <w:t>Author</w:t>
            </w:r>
          </w:p>
          <w:p w:rsidR="006A2FAC" w:rsidRPr="00C636BA" w:rsidRDefault="006A2FAC" w:rsidP="00802C18">
            <w:pPr>
              <w:jc w:val="center"/>
              <w:cnfStyle w:val="000000100000"/>
              <w:rPr>
                <w:rFonts w:cs="Arial"/>
                <w:b/>
                <w:szCs w:val="22"/>
              </w:rPr>
            </w:pPr>
            <w:r w:rsidRPr="00C636BA">
              <w:rPr>
                <w:rFonts w:cs="Arial"/>
                <w:b/>
                <w:szCs w:val="22"/>
              </w:rPr>
              <w:t>(last name)</w:t>
            </w:r>
          </w:p>
        </w:tc>
      </w:tr>
      <w:tr w:rsidR="00717D1D" w:rsidRPr="00C636BA">
        <w:trPr>
          <w:cnfStyle w:val="000000010000"/>
          <w:trHeight w:val="322"/>
        </w:trPr>
        <w:tc>
          <w:tcPr>
            <w:cnfStyle w:val="001000000000"/>
            <w:tcW w:w="3505" w:type="dxa"/>
            <w:vAlign w:val="center"/>
          </w:tcPr>
          <w:p w:rsidR="00717D1D" w:rsidRPr="00C636BA" w:rsidRDefault="00717D1D" w:rsidP="007C1463">
            <w:pPr>
              <w:rPr>
                <w:rFonts w:cs="Arial"/>
                <w:b w:val="0"/>
                <w:szCs w:val="22"/>
              </w:rPr>
            </w:pPr>
            <w:r w:rsidRPr="00C636BA">
              <w:rPr>
                <w:rFonts w:cs="Arial"/>
                <w:b w:val="0"/>
                <w:szCs w:val="22"/>
              </w:rPr>
              <w:t>Circulated to TF Members</w:t>
            </w:r>
          </w:p>
        </w:tc>
        <w:tc>
          <w:tcPr>
            <w:tcW w:w="1553" w:type="dxa"/>
            <w:vAlign w:val="center"/>
          </w:tcPr>
          <w:p w:rsidR="00717D1D" w:rsidRPr="00C636BA" w:rsidRDefault="00717D1D" w:rsidP="00540D0B">
            <w:pPr>
              <w:jc w:val="center"/>
              <w:cnfStyle w:val="000000010000"/>
              <w:rPr>
                <w:rFonts w:cs="Arial"/>
                <w:szCs w:val="22"/>
              </w:rPr>
            </w:pPr>
          </w:p>
        </w:tc>
        <w:tc>
          <w:tcPr>
            <w:tcW w:w="1530" w:type="dxa"/>
            <w:vAlign w:val="center"/>
          </w:tcPr>
          <w:p w:rsidR="00717D1D" w:rsidRPr="00C636BA" w:rsidRDefault="00717D1D" w:rsidP="00540D0B">
            <w:pPr>
              <w:jc w:val="center"/>
              <w:cnfStyle w:val="000000010000"/>
              <w:rPr>
                <w:rFonts w:cs="Arial"/>
                <w:szCs w:val="22"/>
              </w:rPr>
            </w:pPr>
          </w:p>
        </w:tc>
        <w:tc>
          <w:tcPr>
            <w:tcW w:w="990" w:type="dxa"/>
            <w:vAlign w:val="center"/>
          </w:tcPr>
          <w:p w:rsidR="00717D1D" w:rsidRPr="00C636BA" w:rsidRDefault="00717D1D" w:rsidP="00540D0B">
            <w:pPr>
              <w:jc w:val="center"/>
              <w:cnfStyle w:val="000000010000"/>
              <w:rPr>
                <w:rFonts w:cs="Arial"/>
                <w:szCs w:val="22"/>
              </w:rPr>
            </w:pPr>
          </w:p>
        </w:tc>
        <w:tc>
          <w:tcPr>
            <w:tcW w:w="1278" w:type="dxa"/>
            <w:vAlign w:val="center"/>
          </w:tcPr>
          <w:p w:rsidR="00717D1D" w:rsidRPr="00C636BA" w:rsidRDefault="00717D1D" w:rsidP="00540D0B">
            <w:pPr>
              <w:jc w:val="center"/>
              <w:cnfStyle w:val="000000010000"/>
              <w:rPr>
                <w:rFonts w:cs="Arial"/>
                <w:szCs w:val="22"/>
              </w:rPr>
            </w:pPr>
          </w:p>
        </w:tc>
      </w:tr>
      <w:tr w:rsidR="00717D1D" w:rsidRPr="00C636BA">
        <w:trPr>
          <w:cnfStyle w:val="000000100000"/>
          <w:trHeight w:val="250"/>
        </w:trPr>
        <w:tc>
          <w:tcPr>
            <w:cnfStyle w:val="001000000000"/>
            <w:tcW w:w="3505" w:type="dxa"/>
            <w:vAlign w:val="center"/>
          </w:tcPr>
          <w:p w:rsidR="00717D1D" w:rsidRPr="00C636BA" w:rsidRDefault="00717D1D" w:rsidP="007C1463">
            <w:pPr>
              <w:rPr>
                <w:rFonts w:cs="Arial"/>
                <w:b w:val="0"/>
                <w:szCs w:val="22"/>
              </w:rPr>
            </w:pPr>
            <w:r w:rsidRPr="00C636BA">
              <w:rPr>
                <w:rFonts w:cs="Arial"/>
                <w:b w:val="0"/>
                <w:szCs w:val="22"/>
              </w:rPr>
              <w:t>Cal TF summarizes comments</w:t>
            </w:r>
          </w:p>
        </w:tc>
        <w:tc>
          <w:tcPr>
            <w:tcW w:w="1553" w:type="dxa"/>
            <w:vAlign w:val="center"/>
          </w:tcPr>
          <w:p w:rsidR="00717D1D" w:rsidRPr="00C636BA" w:rsidRDefault="00717D1D" w:rsidP="00540D0B">
            <w:pPr>
              <w:jc w:val="center"/>
              <w:cnfStyle w:val="000000100000"/>
              <w:rPr>
                <w:rFonts w:cs="Arial"/>
                <w:szCs w:val="22"/>
              </w:rPr>
            </w:pPr>
          </w:p>
        </w:tc>
        <w:tc>
          <w:tcPr>
            <w:tcW w:w="1530" w:type="dxa"/>
            <w:vAlign w:val="center"/>
          </w:tcPr>
          <w:p w:rsidR="00717D1D" w:rsidRPr="00C636BA" w:rsidRDefault="00717D1D" w:rsidP="00540D0B">
            <w:pPr>
              <w:jc w:val="center"/>
              <w:cnfStyle w:val="000000100000"/>
              <w:rPr>
                <w:rFonts w:cs="Arial"/>
                <w:szCs w:val="22"/>
              </w:rPr>
            </w:pPr>
          </w:p>
        </w:tc>
        <w:tc>
          <w:tcPr>
            <w:tcW w:w="990" w:type="dxa"/>
            <w:vAlign w:val="center"/>
          </w:tcPr>
          <w:p w:rsidR="00717D1D" w:rsidRPr="00C636BA" w:rsidRDefault="00717D1D" w:rsidP="00540D0B">
            <w:pPr>
              <w:jc w:val="center"/>
              <w:cnfStyle w:val="000000100000"/>
              <w:rPr>
                <w:rFonts w:cs="Arial"/>
                <w:szCs w:val="22"/>
              </w:rPr>
            </w:pPr>
          </w:p>
        </w:tc>
        <w:tc>
          <w:tcPr>
            <w:tcW w:w="1278" w:type="dxa"/>
            <w:vAlign w:val="center"/>
          </w:tcPr>
          <w:p w:rsidR="00717D1D" w:rsidRPr="00C636BA" w:rsidRDefault="00717D1D" w:rsidP="00540D0B">
            <w:pPr>
              <w:jc w:val="center"/>
              <w:cnfStyle w:val="000000100000"/>
              <w:rPr>
                <w:rFonts w:cs="Arial"/>
                <w:szCs w:val="22"/>
              </w:rPr>
            </w:pPr>
          </w:p>
        </w:tc>
      </w:tr>
      <w:tr w:rsidR="00717D1D" w:rsidRPr="00C636BA">
        <w:trPr>
          <w:cnfStyle w:val="000000010000"/>
          <w:trHeight w:val="250"/>
        </w:trPr>
        <w:tc>
          <w:tcPr>
            <w:cnfStyle w:val="001000000000"/>
            <w:tcW w:w="3505" w:type="dxa"/>
            <w:vAlign w:val="center"/>
          </w:tcPr>
          <w:p w:rsidR="00717D1D" w:rsidRPr="00C636BA" w:rsidRDefault="00717D1D" w:rsidP="007C1463">
            <w:pPr>
              <w:rPr>
                <w:rFonts w:cs="Arial"/>
                <w:b w:val="0"/>
                <w:szCs w:val="22"/>
              </w:rPr>
            </w:pPr>
            <w:r w:rsidRPr="00C636BA">
              <w:rPr>
                <w:rFonts w:cs="Arial"/>
                <w:b w:val="0"/>
                <w:szCs w:val="22"/>
              </w:rPr>
              <w:t>Abstract presented at Meeting; consensus decision-</w:t>
            </w:r>
            <w:r w:rsidR="006A2FAC" w:rsidRPr="00C636BA">
              <w:rPr>
                <w:rFonts w:cs="Arial"/>
                <w:b w:val="0"/>
                <w:szCs w:val="22"/>
              </w:rPr>
              <w:t>marking</w:t>
            </w:r>
          </w:p>
        </w:tc>
        <w:tc>
          <w:tcPr>
            <w:tcW w:w="1553" w:type="dxa"/>
            <w:vAlign w:val="center"/>
          </w:tcPr>
          <w:p w:rsidR="00717D1D" w:rsidRPr="00C636BA" w:rsidRDefault="00717D1D" w:rsidP="00540D0B">
            <w:pPr>
              <w:jc w:val="center"/>
              <w:cnfStyle w:val="000000010000"/>
              <w:rPr>
                <w:rFonts w:cs="Arial"/>
                <w:szCs w:val="22"/>
              </w:rPr>
            </w:pPr>
          </w:p>
        </w:tc>
        <w:tc>
          <w:tcPr>
            <w:tcW w:w="1530" w:type="dxa"/>
            <w:vAlign w:val="center"/>
          </w:tcPr>
          <w:p w:rsidR="00717D1D" w:rsidRPr="00C636BA" w:rsidRDefault="00717D1D" w:rsidP="00540D0B">
            <w:pPr>
              <w:jc w:val="center"/>
              <w:cnfStyle w:val="000000010000"/>
              <w:rPr>
                <w:rFonts w:cs="Arial"/>
                <w:szCs w:val="22"/>
              </w:rPr>
            </w:pPr>
          </w:p>
        </w:tc>
        <w:tc>
          <w:tcPr>
            <w:tcW w:w="990" w:type="dxa"/>
            <w:vAlign w:val="center"/>
          </w:tcPr>
          <w:p w:rsidR="00717D1D" w:rsidRPr="00C636BA" w:rsidRDefault="00717D1D" w:rsidP="00540D0B">
            <w:pPr>
              <w:jc w:val="center"/>
              <w:cnfStyle w:val="000000010000"/>
              <w:rPr>
                <w:rFonts w:cs="Arial"/>
                <w:szCs w:val="22"/>
              </w:rPr>
            </w:pPr>
          </w:p>
        </w:tc>
        <w:tc>
          <w:tcPr>
            <w:tcW w:w="1278" w:type="dxa"/>
            <w:vAlign w:val="center"/>
          </w:tcPr>
          <w:p w:rsidR="00717D1D" w:rsidRPr="00C636BA" w:rsidRDefault="00717D1D" w:rsidP="00540D0B">
            <w:pPr>
              <w:jc w:val="center"/>
              <w:cnfStyle w:val="000000010000"/>
              <w:rPr>
                <w:rFonts w:cs="Arial"/>
                <w:szCs w:val="22"/>
              </w:rPr>
            </w:pPr>
          </w:p>
        </w:tc>
      </w:tr>
      <w:tr w:rsidR="00717D1D" w:rsidRPr="00C636BA">
        <w:trPr>
          <w:cnfStyle w:val="000000100000"/>
          <w:trHeight w:val="250"/>
        </w:trPr>
        <w:tc>
          <w:tcPr>
            <w:cnfStyle w:val="001000000000"/>
            <w:tcW w:w="3505" w:type="dxa"/>
            <w:vAlign w:val="center"/>
          </w:tcPr>
          <w:p w:rsidR="00717D1D" w:rsidRPr="00C636BA" w:rsidRDefault="00717D1D" w:rsidP="007C1463">
            <w:pPr>
              <w:rPr>
                <w:rFonts w:cs="Arial"/>
                <w:b w:val="0"/>
                <w:szCs w:val="22"/>
              </w:rPr>
            </w:pPr>
            <w:r w:rsidRPr="00C636BA">
              <w:rPr>
                <w:rFonts w:cs="Arial"/>
                <w:b w:val="0"/>
                <w:szCs w:val="22"/>
              </w:rPr>
              <w:t>Cal TF finalizes abstract; prepares comparison exhibit of non-consensus items</w:t>
            </w:r>
          </w:p>
        </w:tc>
        <w:tc>
          <w:tcPr>
            <w:tcW w:w="1553" w:type="dxa"/>
            <w:vAlign w:val="center"/>
          </w:tcPr>
          <w:p w:rsidR="00717D1D" w:rsidRPr="00C636BA" w:rsidRDefault="00717D1D" w:rsidP="00540D0B">
            <w:pPr>
              <w:jc w:val="center"/>
              <w:cnfStyle w:val="000000100000"/>
              <w:rPr>
                <w:rFonts w:cs="Arial"/>
                <w:szCs w:val="22"/>
              </w:rPr>
            </w:pPr>
          </w:p>
        </w:tc>
        <w:tc>
          <w:tcPr>
            <w:tcW w:w="1530" w:type="dxa"/>
            <w:vAlign w:val="center"/>
          </w:tcPr>
          <w:p w:rsidR="00717D1D" w:rsidRPr="00C636BA" w:rsidRDefault="00717D1D" w:rsidP="00540D0B">
            <w:pPr>
              <w:jc w:val="center"/>
              <w:cnfStyle w:val="000000100000"/>
              <w:rPr>
                <w:rFonts w:cs="Arial"/>
                <w:szCs w:val="22"/>
              </w:rPr>
            </w:pPr>
          </w:p>
        </w:tc>
        <w:tc>
          <w:tcPr>
            <w:tcW w:w="990" w:type="dxa"/>
            <w:vAlign w:val="center"/>
          </w:tcPr>
          <w:p w:rsidR="00717D1D" w:rsidRPr="00C636BA" w:rsidRDefault="00717D1D" w:rsidP="00540D0B">
            <w:pPr>
              <w:jc w:val="center"/>
              <w:cnfStyle w:val="000000100000"/>
              <w:rPr>
                <w:rFonts w:cs="Arial"/>
                <w:szCs w:val="22"/>
              </w:rPr>
            </w:pPr>
          </w:p>
        </w:tc>
        <w:tc>
          <w:tcPr>
            <w:tcW w:w="1278" w:type="dxa"/>
            <w:vAlign w:val="center"/>
          </w:tcPr>
          <w:p w:rsidR="00717D1D" w:rsidRPr="00C636BA" w:rsidRDefault="00717D1D" w:rsidP="00540D0B">
            <w:pPr>
              <w:jc w:val="center"/>
              <w:cnfStyle w:val="000000100000"/>
              <w:rPr>
                <w:rFonts w:cs="Arial"/>
                <w:szCs w:val="22"/>
              </w:rPr>
            </w:pPr>
          </w:p>
        </w:tc>
      </w:tr>
      <w:tr w:rsidR="00717D1D" w:rsidRPr="00C636BA">
        <w:trPr>
          <w:cnfStyle w:val="000000010000"/>
          <w:trHeight w:val="265"/>
        </w:trPr>
        <w:tc>
          <w:tcPr>
            <w:cnfStyle w:val="001000000000"/>
            <w:tcW w:w="3505" w:type="dxa"/>
            <w:vAlign w:val="center"/>
          </w:tcPr>
          <w:p w:rsidR="00717D1D" w:rsidRPr="00C636BA" w:rsidRDefault="00717D1D" w:rsidP="007C1463">
            <w:pPr>
              <w:rPr>
                <w:rFonts w:cs="Arial"/>
                <w:b w:val="0"/>
                <w:szCs w:val="22"/>
              </w:rPr>
            </w:pPr>
            <w:r w:rsidRPr="00C636BA">
              <w:rPr>
                <w:rFonts w:cs="Arial"/>
                <w:b w:val="0"/>
                <w:szCs w:val="22"/>
              </w:rPr>
              <w:t>Abstract to TF Subcommittee</w:t>
            </w:r>
          </w:p>
        </w:tc>
        <w:tc>
          <w:tcPr>
            <w:tcW w:w="1553" w:type="dxa"/>
            <w:vAlign w:val="center"/>
          </w:tcPr>
          <w:p w:rsidR="00717D1D" w:rsidRPr="00C636BA" w:rsidRDefault="00717D1D" w:rsidP="00540D0B">
            <w:pPr>
              <w:jc w:val="center"/>
              <w:cnfStyle w:val="000000010000"/>
              <w:rPr>
                <w:rFonts w:cs="Arial"/>
                <w:szCs w:val="22"/>
              </w:rPr>
            </w:pPr>
          </w:p>
        </w:tc>
        <w:tc>
          <w:tcPr>
            <w:tcW w:w="1530" w:type="dxa"/>
            <w:vAlign w:val="center"/>
          </w:tcPr>
          <w:p w:rsidR="00717D1D" w:rsidRPr="00C636BA" w:rsidRDefault="00717D1D" w:rsidP="00540D0B">
            <w:pPr>
              <w:jc w:val="center"/>
              <w:cnfStyle w:val="000000010000"/>
              <w:rPr>
                <w:rFonts w:cs="Arial"/>
                <w:szCs w:val="22"/>
              </w:rPr>
            </w:pPr>
          </w:p>
        </w:tc>
        <w:tc>
          <w:tcPr>
            <w:tcW w:w="990" w:type="dxa"/>
            <w:vAlign w:val="center"/>
          </w:tcPr>
          <w:p w:rsidR="00717D1D" w:rsidRPr="00C636BA" w:rsidRDefault="00717D1D" w:rsidP="00540D0B">
            <w:pPr>
              <w:jc w:val="center"/>
              <w:cnfStyle w:val="000000010000"/>
              <w:rPr>
                <w:rFonts w:cs="Arial"/>
                <w:szCs w:val="22"/>
              </w:rPr>
            </w:pPr>
          </w:p>
        </w:tc>
        <w:tc>
          <w:tcPr>
            <w:tcW w:w="1278" w:type="dxa"/>
            <w:vAlign w:val="center"/>
          </w:tcPr>
          <w:p w:rsidR="00717D1D" w:rsidRPr="00C636BA" w:rsidRDefault="00717D1D" w:rsidP="00540D0B">
            <w:pPr>
              <w:jc w:val="center"/>
              <w:cnfStyle w:val="000000010000"/>
              <w:rPr>
                <w:rFonts w:cs="Arial"/>
                <w:szCs w:val="22"/>
              </w:rPr>
            </w:pPr>
          </w:p>
        </w:tc>
      </w:tr>
      <w:tr w:rsidR="00717D1D" w:rsidRPr="00C636BA">
        <w:trPr>
          <w:cnfStyle w:val="000000100000"/>
          <w:trHeight w:val="250"/>
        </w:trPr>
        <w:tc>
          <w:tcPr>
            <w:cnfStyle w:val="001000000000"/>
            <w:tcW w:w="3505" w:type="dxa"/>
            <w:vAlign w:val="center"/>
          </w:tcPr>
          <w:p w:rsidR="00717D1D" w:rsidRPr="00C636BA" w:rsidRDefault="00717D1D" w:rsidP="007C1463">
            <w:pPr>
              <w:rPr>
                <w:rFonts w:cs="Arial"/>
                <w:b w:val="0"/>
                <w:szCs w:val="22"/>
              </w:rPr>
            </w:pPr>
          </w:p>
        </w:tc>
        <w:tc>
          <w:tcPr>
            <w:tcW w:w="1553" w:type="dxa"/>
            <w:vAlign w:val="center"/>
          </w:tcPr>
          <w:p w:rsidR="00717D1D" w:rsidRPr="00C636BA" w:rsidRDefault="00717D1D" w:rsidP="00540D0B">
            <w:pPr>
              <w:jc w:val="center"/>
              <w:cnfStyle w:val="000000100000"/>
              <w:rPr>
                <w:rFonts w:cs="Arial"/>
                <w:szCs w:val="22"/>
              </w:rPr>
            </w:pPr>
          </w:p>
        </w:tc>
        <w:tc>
          <w:tcPr>
            <w:tcW w:w="1530" w:type="dxa"/>
            <w:vAlign w:val="center"/>
          </w:tcPr>
          <w:p w:rsidR="00717D1D" w:rsidRPr="00C636BA" w:rsidRDefault="00717D1D" w:rsidP="00540D0B">
            <w:pPr>
              <w:jc w:val="center"/>
              <w:cnfStyle w:val="000000100000"/>
              <w:rPr>
                <w:rFonts w:cs="Arial"/>
                <w:szCs w:val="22"/>
              </w:rPr>
            </w:pPr>
          </w:p>
        </w:tc>
        <w:tc>
          <w:tcPr>
            <w:tcW w:w="990" w:type="dxa"/>
            <w:vAlign w:val="center"/>
          </w:tcPr>
          <w:p w:rsidR="00717D1D" w:rsidRPr="00C636BA" w:rsidRDefault="00717D1D" w:rsidP="00540D0B">
            <w:pPr>
              <w:jc w:val="center"/>
              <w:cnfStyle w:val="000000100000"/>
              <w:rPr>
                <w:rFonts w:cs="Arial"/>
                <w:szCs w:val="22"/>
              </w:rPr>
            </w:pPr>
          </w:p>
        </w:tc>
        <w:tc>
          <w:tcPr>
            <w:tcW w:w="1278" w:type="dxa"/>
            <w:vAlign w:val="center"/>
          </w:tcPr>
          <w:p w:rsidR="00717D1D" w:rsidRPr="00C636BA" w:rsidRDefault="00717D1D" w:rsidP="00540D0B">
            <w:pPr>
              <w:jc w:val="center"/>
              <w:cnfStyle w:val="000000100000"/>
              <w:rPr>
                <w:rFonts w:cs="Arial"/>
                <w:szCs w:val="22"/>
              </w:rPr>
            </w:pPr>
          </w:p>
        </w:tc>
      </w:tr>
      <w:tr w:rsidR="00717D1D" w:rsidRPr="00C636BA">
        <w:trPr>
          <w:cnfStyle w:val="000000010000"/>
          <w:trHeight w:val="385"/>
        </w:trPr>
        <w:tc>
          <w:tcPr>
            <w:cnfStyle w:val="001000000000"/>
            <w:tcW w:w="3505" w:type="dxa"/>
            <w:vAlign w:val="center"/>
          </w:tcPr>
          <w:p w:rsidR="00717D1D" w:rsidRPr="00C636BA" w:rsidRDefault="00717D1D" w:rsidP="007C1463">
            <w:pPr>
              <w:rPr>
                <w:rFonts w:cs="Arial"/>
                <w:b w:val="0"/>
                <w:szCs w:val="22"/>
              </w:rPr>
            </w:pPr>
          </w:p>
        </w:tc>
        <w:tc>
          <w:tcPr>
            <w:tcW w:w="1553" w:type="dxa"/>
            <w:vAlign w:val="center"/>
          </w:tcPr>
          <w:p w:rsidR="00717D1D" w:rsidRPr="00C636BA" w:rsidRDefault="00717D1D" w:rsidP="00540D0B">
            <w:pPr>
              <w:jc w:val="center"/>
              <w:cnfStyle w:val="000000010000"/>
              <w:rPr>
                <w:rFonts w:cs="Arial"/>
                <w:szCs w:val="22"/>
              </w:rPr>
            </w:pPr>
          </w:p>
        </w:tc>
        <w:tc>
          <w:tcPr>
            <w:tcW w:w="1530" w:type="dxa"/>
            <w:vAlign w:val="center"/>
          </w:tcPr>
          <w:p w:rsidR="00717D1D" w:rsidRPr="00C636BA" w:rsidRDefault="00717D1D" w:rsidP="00540D0B">
            <w:pPr>
              <w:jc w:val="center"/>
              <w:cnfStyle w:val="000000010000"/>
              <w:rPr>
                <w:rFonts w:cs="Arial"/>
                <w:szCs w:val="22"/>
              </w:rPr>
            </w:pPr>
          </w:p>
        </w:tc>
        <w:tc>
          <w:tcPr>
            <w:tcW w:w="990" w:type="dxa"/>
            <w:vAlign w:val="center"/>
          </w:tcPr>
          <w:p w:rsidR="00717D1D" w:rsidRPr="00C636BA" w:rsidRDefault="00717D1D" w:rsidP="00540D0B">
            <w:pPr>
              <w:jc w:val="center"/>
              <w:cnfStyle w:val="000000010000"/>
              <w:rPr>
                <w:rFonts w:cs="Arial"/>
                <w:szCs w:val="22"/>
              </w:rPr>
            </w:pPr>
          </w:p>
        </w:tc>
        <w:tc>
          <w:tcPr>
            <w:tcW w:w="1278" w:type="dxa"/>
            <w:vAlign w:val="center"/>
          </w:tcPr>
          <w:p w:rsidR="00717D1D" w:rsidRPr="00C636BA" w:rsidRDefault="00717D1D" w:rsidP="00540D0B">
            <w:pPr>
              <w:jc w:val="center"/>
              <w:cnfStyle w:val="000000010000"/>
              <w:rPr>
                <w:rFonts w:cs="Arial"/>
                <w:szCs w:val="22"/>
              </w:rPr>
            </w:pPr>
          </w:p>
        </w:tc>
      </w:tr>
      <w:tr w:rsidR="00717D1D" w:rsidRPr="00C636BA">
        <w:trPr>
          <w:cnfStyle w:val="000000100000"/>
          <w:trHeight w:val="250"/>
        </w:trPr>
        <w:tc>
          <w:tcPr>
            <w:cnfStyle w:val="001000000000"/>
            <w:tcW w:w="3505" w:type="dxa"/>
            <w:vAlign w:val="center"/>
          </w:tcPr>
          <w:p w:rsidR="00717D1D" w:rsidRPr="00C636BA" w:rsidRDefault="00717D1D" w:rsidP="007C1463">
            <w:pPr>
              <w:rPr>
                <w:rFonts w:cs="Arial"/>
                <w:b w:val="0"/>
                <w:szCs w:val="22"/>
              </w:rPr>
            </w:pPr>
          </w:p>
        </w:tc>
        <w:tc>
          <w:tcPr>
            <w:tcW w:w="1553" w:type="dxa"/>
            <w:vAlign w:val="center"/>
          </w:tcPr>
          <w:p w:rsidR="00717D1D" w:rsidRPr="00C636BA" w:rsidRDefault="00717D1D" w:rsidP="00540D0B">
            <w:pPr>
              <w:jc w:val="center"/>
              <w:cnfStyle w:val="000000100000"/>
              <w:rPr>
                <w:rFonts w:cs="Arial"/>
                <w:szCs w:val="22"/>
              </w:rPr>
            </w:pPr>
          </w:p>
        </w:tc>
        <w:tc>
          <w:tcPr>
            <w:tcW w:w="1530" w:type="dxa"/>
            <w:vAlign w:val="center"/>
          </w:tcPr>
          <w:p w:rsidR="00717D1D" w:rsidRPr="00C636BA" w:rsidRDefault="00717D1D" w:rsidP="00540D0B">
            <w:pPr>
              <w:jc w:val="center"/>
              <w:cnfStyle w:val="000000100000"/>
              <w:rPr>
                <w:rFonts w:cs="Arial"/>
                <w:szCs w:val="22"/>
              </w:rPr>
            </w:pPr>
          </w:p>
        </w:tc>
        <w:tc>
          <w:tcPr>
            <w:tcW w:w="990" w:type="dxa"/>
            <w:vAlign w:val="center"/>
          </w:tcPr>
          <w:p w:rsidR="00717D1D" w:rsidRPr="00C636BA" w:rsidRDefault="00717D1D" w:rsidP="00540D0B">
            <w:pPr>
              <w:jc w:val="center"/>
              <w:cnfStyle w:val="000000100000"/>
              <w:rPr>
                <w:rFonts w:cs="Arial"/>
                <w:szCs w:val="22"/>
              </w:rPr>
            </w:pPr>
          </w:p>
        </w:tc>
        <w:tc>
          <w:tcPr>
            <w:tcW w:w="1278" w:type="dxa"/>
            <w:vAlign w:val="center"/>
          </w:tcPr>
          <w:p w:rsidR="00717D1D" w:rsidRPr="00C636BA" w:rsidRDefault="00717D1D" w:rsidP="00540D0B">
            <w:pPr>
              <w:jc w:val="center"/>
              <w:cnfStyle w:val="000000100000"/>
              <w:rPr>
                <w:rFonts w:cs="Arial"/>
                <w:szCs w:val="22"/>
              </w:rPr>
            </w:pPr>
          </w:p>
        </w:tc>
      </w:tr>
      <w:tr w:rsidR="00717D1D">
        <w:trPr>
          <w:cnfStyle w:val="000000010000"/>
          <w:trHeight w:val="250"/>
        </w:trPr>
        <w:tc>
          <w:tcPr>
            <w:cnfStyle w:val="001000000000"/>
            <w:tcW w:w="3505" w:type="dxa"/>
            <w:vAlign w:val="center"/>
          </w:tcPr>
          <w:p w:rsidR="00717D1D" w:rsidRPr="00717D1D" w:rsidRDefault="00717D1D" w:rsidP="007C1463">
            <w:pPr>
              <w:rPr>
                <w:b w:val="0"/>
                <w:sz w:val="20"/>
              </w:rPr>
            </w:pPr>
          </w:p>
        </w:tc>
        <w:tc>
          <w:tcPr>
            <w:tcW w:w="1553" w:type="dxa"/>
            <w:vAlign w:val="center"/>
          </w:tcPr>
          <w:p w:rsidR="00717D1D" w:rsidRPr="00717D1D" w:rsidRDefault="00717D1D" w:rsidP="00540D0B">
            <w:pPr>
              <w:jc w:val="center"/>
              <w:cnfStyle w:val="000000010000"/>
              <w:rPr>
                <w:sz w:val="20"/>
              </w:rPr>
            </w:pPr>
          </w:p>
        </w:tc>
        <w:tc>
          <w:tcPr>
            <w:tcW w:w="1530" w:type="dxa"/>
            <w:vAlign w:val="center"/>
          </w:tcPr>
          <w:p w:rsidR="00717D1D" w:rsidRPr="00717D1D" w:rsidRDefault="00717D1D" w:rsidP="00540D0B">
            <w:pPr>
              <w:jc w:val="center"/>
              <w:cnfStyle w:val="000000010000"/>
              <w:rPr>
                <w:sz w:val="20"/>
              </w:rPr>
            </w:pPr>
          </w:p>
        </w:tc>
        <w:tc>
          <w:tcPr>
            <w:tcW w:w="990" w:type="dxa"/>
            <w:vAlign w:val="center"/>
          </w:tcPr>
          <w:p w:rsidR="00717D1D" w:rsidRPr="00717D1D" w:rsidRDefault="00717D1D" w:rsidP="00540D0B">
            <w:pPr>
              <w:jc w:val="center"/>
              <w:cnfStyle w:val="000000010000"/>
              <w:rPr>
                <w:sz w:val="20"/>
              </w:rPr>
            </w:pPr>
          </w:p>
        </w:tc>
        <w:tc>
          <w:tcPr>
            <w:tcW w:w="1278" w:type="dxa"/>
            <w:vAlign w:val="center"/>
          </w:tcPr>
          <w:p w:rsidR="00717D1D" w:rsidRPr="00717D1D" w:rsidRDefault="00717D1D" w:rsidP="00540D0B">
            <w:pPr>
              <w:jc w:val="center"/>
              <w:cnfStyle w:val="000000010000"/>
              <w:rPr>
                <w:sz w:val="20"/>
              </w:rPr>
            </w:pPr>
          </w:p>
        </w:tc>
      </w:tr>
      <w:tr w:rsidR="00717D1D">
        <w:trPr>
          <w:cnfStyle w:val="000000100000"/>
          <w:trHeight w:val="265"/>
        </w:trPr>
        <w:tc>
          <w:tcPr>
            <w:cnfStyle w:val="001000000000"/>
            <w:tcW w:w="3505" w:type="dxa"/>
            <w:vAlign w:val="center"/>
          </w:tcPr>
          <w:p w:rsidR="00717D1D" w:rsidRPr="00717D1D" w:rsidRDefault="00717D1D" w:rsidP="007C1463">
            <w:pPr>
              <w:rPr>
                <w:b w:val="0"/>
                <w:sz w:val="20"/>
              </w:rPr>
            </w:pPr>
          </w:p>
        </w:tc>
        <w:tc>
          <w:tcPr>
            <w:tcW w:w="1553" w:type="dxa"/>
            <w:vAlign w:val="center"/>
          </w:tcPr>
          <w:p w:rsidR="00717D1D" w:rsidRPr="00717D1D" w:rsidRDefault="00717D1D" w:rsidP="00540D0B">
            <w:pPr>
              <w:jc w:val="center"/>
              <w:cnfStyle w:val="000000100000"/>
              <w:rPr>
                <w:sz w:val="20"/>
              </w:rPr>
            </w:pPr>
          </w:p>
        </w:tc>
        <w:tc>
          <w:tcPr>
            <w:tcW w:w="1530" w:type="dxa"/>
            <w:vAlign w:val="center"/>
          </w:tcPr>
          <w:p w:rsidR="00717D1D" w:rsidRPr="00717D1D" w:rsidRDefault="00717D1D" w:rsidP="00540D0B">
            <w:pPr>
              <w:jc w:val="center"/>
              <w:cnfStyle w:val="000000100000"/>
              <w:rPr>
                <w:sz w:val="20"/>
              </w:rPr>
            </w:pPr>
          </w:p>
        </w:tc>
        <w:tc>
          <w:tcPr>
            <w:tcW w:w="990" w:type="dxa"/>
            <w:vAlign w:val="center"/>
          </w:tcPr>
          <w:p w:rsidR="00717D1D" w:rsidRPr="00717D1D" w:rsidRDefault="00717D1D" w:rsidP="00540D0B">
            <w:pPr>
              <w:jc w:val="center"/>
              <w:cnfStyle w:val="000000100000"/>
              <w:rPr>
                <w:sz w:val="20"/>
              </w:rPr>
            </w:pPr>
          </w:p>
        </w:tc>
        <w:tc>
          <w:tcPr>
            <w:tcW w:w="1278" w:type="dxa"/>
            <w:vAlign w:val="center"/>
          </w:tcPr>
          <w:p w:rsidR="00717D1D" w:rsidRPr="00717D1D" w:rsidRDefault="00717D1D" w:rsidP="00540D0B">
            <w:pPr>
              <w:jc w:val="center"/>
              <w:cnfStyle w:val="000000100000"/>
              <w:rPr>
                <w:sz w:val="20"/>
              </w:rPr>
            </w:pPr>
          </w:p>
        </w:tc>
      </w:tr>
      <w:tr w:rsidR="00717D1D">
        <w:trPr>
          <w:cnfStyle w:val="000000010000"/>
          <w:trHeight w:val="250"/>
        </w:trPr>
        <w:tc>
          <w:tcPr>
            <w:cnfStyle w:val="001000000000"/>
            <w:tcW w:w="3505" w:type="dxa"/>
            <w:vAlign w:val="center"/>
          </w:tcPr>
          <w:p w:rsidR="00717D1D" w:rsidRPr="00717D1D" w:rsidRDefault="00717D1D" w:rsidP="007C1463">
            <w:pPr>
              <w:rPr>
                <w:sz w:val="20"/>
              </w:rPr>
            </w:pPr>
          </w:p>
        </w:tc>
        <w:tc>
          <w:tcPr>
            <w:tcW w:w="1553" w:type="dxa"/>
            <w:vAlign w:val="center"/>
          </w:tcPr>
          <w:p w:rsidR="00717D1D" w:rsidRPr="00717D1D" w:rsidRDefault="00717D1D" w:rsidP="00540D0B">
            <w:pPr>
              <w:jc w:val="center"/>
              <w:cnfStyle w:val="000000010000"/>
              <w:rPr>
                <w:sz w:val="20"/>
              </w:rPr>
            </w:pPr>
          </w:p>
        </w:tc>
        <w:tc>
          <w:tcPr>
            <w:tcW w:w="1530" w:type="dxa"/>
            <w:vAlign w:val="center"/>
          </w:tcPr>
          <w:p w:rsidR="00717D1D" w:rsidRPr="00717D1D" w:rsidRDefault="00717D1D" w:rsidP="00540D0B">
            <w:pPr>
              <w:jc w:val="center"/>
              <w:cnfStyle w:val="000000010000"/>
              <w:rPr>
                <w:sz w:val="20"/>
              </w:rPr>
            </w:pPr>
          </w:p>
        </w:tc>
        <w:tc>
          <w:tcPr>
            <w:tcW w:w="990" w:type="dxa"/>
            <w:vAlign w:val="center"/>
          </w:tcPr>
          <w:p w:rsidR="00717D1D" w:rsidRPr="00717D1D" w:rsidRDefault="00717D1D" w:rsidP="00540D0B">
            <w:pPr>
              <w:jc w:val="center"/>
              <w:cnfStyle w:val="000000010000"/>
              <w:rPr>
                <w:sz w:val="20"/>
              </w:rPr>
            </w:pPr>
          </w:p>
        </w:tc>
        <w:tc>
          <w:tcPr>
            <w:tcW w:w="1278" w:type="dxa"/>
            <w:vAlign w:val="center"/>
          </w:tcPr>
          <w:p w:rsidR="00717D1D" w:rsidRPr="00717D1D" w:rsidRDefault="00717D1D" w:rsidP="00540D0B">
            <w:pPr>
              <w:jc w:val="center"/>
              <w:cnfStyle w:val="000000010000"/>
              <w:rPr>
                <w:sz w:val="20"/>
              </w:rPr>
            </w:pPr>
          </w:p>
        </w:tc>
      </w:tr>
    </w:tbl>
    <w:p w:rsidR="00C274E0" w:rsidRDefault="00C274E0" w:rsidP="00844B27">
      <w:pPr>
        <w:rPr>
          <w:rFonts w:cs="Arial"/>
          <w:b/>
          <w:i/>
        </w:rPr>
      </w:pPr>
    </w:p>
    <w:p w:rsidR="00C274E0" w:rsidRDefault="00C274E0" w:rsidP="00844B27">
      <w:pPr>
        <w:rPr>
          <w:rFonts w:cs="Arial"/>
          <w:b/>
          <w:i/>
        </w:rPr>
      </w:pPr>
    </w:p>
    <w:p w:rsidR="00C274E0" w:rsidRDefault="00C274E0" w:rsidP="00844B27">
      <w:pPr>
        <w:rPr>
          <w:rFonts w:cs="Arial"/>
          <w:b/>
          <w:i/>
        </w:rPr>
      </w:pPr>
    </w:p>
    <w:p w:rsidR="00C274E0" w:rsidRDefault="00C274E0" w:rsidP="00844B27">
      <w:pPr>
        <w:rPr>
          <w:rFonts w:cs="Arial"/>
          <w:b/>
          <w:i/>
        </w:rPr>
      </w:pPr>
    </w:p>
    <w:p w:rsidR="000D5482" w:rsidRDefault="000D5482">
      <w:pPr>
        <w:rPr>
          <w:rFonts w:cs="Arial"/>
          <w:b/>
          <w:i/>
        </w:rPr>
      </w:pPr>
      <w:r>
        <w:rPr>
          <w:rFonts w:cs="Arial"/>
          <w:b/>
          <w:i/>
        </w:rPr>
        <w:br w:type="page"/>
      </w:r>
    </w:p>
    <w:p w:rsidR="00534386" w:rsidRPr="00C274E0" w:rsidRDefault="00534386" w:rsidP="00844B27">
      <w:pPr>
        <w:rPr>
          <w:rFonts w:cs="Arial"/>
          <w:b/>
          <w:i/>
        </w:rPr>
        <w:sectPr w:rsidR="00534386" w:rsidRPr="00C274E0">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800" w:bottom="1440" w:left="1800" w:gutter="0"/>
          <w:pgNumType w:fmt="lowerRoman" w:start="1"/>
          <w:titlePg/>
          <w:docGrid w:linePitch="360"/>
        </w:sectPr>
      </w:pPr>
    </w:p>
    <w:p w:rsidR="007D7677" w:rsidRDefault="007D7677"/>
    <w:p w:rsidR="00DC470E" w:rsidRDefault="00DC470E"/>
    <w:p w:rsidR="00DC470E" w:rsidRDefault="00DC470E" w:rsidP="00C636BA">
      <w:pPr>
        <w:spacing w:after="60"/>
      </w:pPr>
      <w:r w:rsidRPr="00C636BA">
        <w:rPr>
          <w:b/>
        </w:rPr>
        <w:t>Table 1.</w:t>
      </w:r>
      <w:r>
        <w:t xml:space="preserve"> Work Paper Abstract Snapshot</w:t>
      </w:r>
    </w:p>
    <w:tbl>
      <w:tblPr>
        <w:tblStyle w:val="LightShading-Accent5"/>
        <w:tblW w:w="0" w:type="auto"/>
        <w:tblBorders>
          <w:left w:val="single" w:sz="8" w:space="0" w:color="4BACC6" w:themeColor="accent5"/>
          <w:right w:val="single" w:sz="8" w:space="0" w:color="4BACC6" w:themeColor="accent5"/>
          <w:insideH w:val="single" w:sz="6" w:space="0" w:color="4BACC6" w:themeColor="accent5"/>
          <w:insideV w:val="single" w:sz="6" w:space="0" w:color="4BACC6" w:themeColor="accent5"/>
        </w:tblBorders>
        <w:tblLayout w:type="fixed"/>
        <w:tblLook w:val="04A0"/>
      </w:tblPr>
      <w:tblGrid>
        <w:gridCol w:w="1548"/>
        <w:gridCol w:w="3690"/>
        <w:gridCol w:w="4338"/>
      </w:tblGrid>
      <w:tr w:rsidR="0099361C">
        <w:trPr>
          <w:cnfStyle w:val="100000000000"/>
        </w:trPr>
        <w:tc>
          <w:tcPr>
            <w:cnfStyle w:val="001000000000"/>
            <w:tcW w:w="9576" w:type="dxa"/>
            <w:gridSpan w:val="3"/>
            <w:tcBorders>
              <w:top w:val="none" w:sz="0" w:space="0" w:color="auto"/>
              <w:left w:val="none" w:sz="0" w:space="0" w:color="auto"/>
              <w:bottom w:val="none" w:sz="0" w:space="0" w:color="auto"/>
              <w:right w:val="none" w:sz="0" w:space="0" w:color="auto"/>
            </w:tcBorders>
            <w:vAlign w:val="center"/>
          </w:tcPr>
          <w:p w:rsidR="0099361C" w:rsidRPr="00C636BA" w:rsidRDefault="00DC470E" w:rsidP="00322F50">
            <w:pPr>
              <w:jc w:val="center"/>
              <w:rPr>
                <w:color w:val="auto"/>
              </w:rPr>
            </w:pPr>
            <w:r w:rsidRPr="00C636BA">
              <w:rPr>
                <w:color w:val="auto"/>
              </w:rPr>
              <w:t>Work Paper</w:t>
            </w:r>
            <w:r w:rsidR="0099361C" w:rsidRPr="00C636BA">
              <w:rPr>
                <w:color w:val="auto"/>
              </w:rPr>
              <w:t xml:space="preserve"> </w:t>
            </w:r>
            <w:r w:rsidR="00322F50" w:rsidRPr="00C636BA">
              <w:rPr>
                <w:color w:val="auto"/>
              </w:rPr>
              <w:t>Abstract</w:t>
            </w:r>
            <w:r w:rsidR="0099361C" w:rsidRPr="00C636BA">
              <w:rPr>
                <w:color w:val="auto"/>
              </w:rPr>
              <w:t xml:space="preserve"> Snapshot</w:t>
            </w:r>
          </w:p>
        </w:tc>
      </w:tr>
      <w:tr w:rsidR="00B9513D">
        <w:trPr>
          <w:cnfStyle w:val="000000100000"/>
        </w:trPr>
        <w:tc>
          <w:tcPr>
            <w:cnfStyle w:val="001000000000"/>
            <w:tcW w:w="1548" w:type="dxa"/>
            <w:tcBorders>
              <w:left w:val="none" w:sz="0" w:space="0" w:color="auto"/>
              <w:right w:val="none" w:sz="0" w:space="0" w:color="auto"/>
            </w:tcBorders>
            <w:vAlign w:val="center"/>
          </w:tcPr>
          <w:p w:rsidR="007D7677" w:rsidRPr="00C636BA" w:rsidRDefault="0099361C" w:rsidP="00C636BA">
            <w:pPr>
              <w:jc w:val="center"/>
              <w:rPr>
                <w:color w:val="auto"/>
              </w:rPr>
            </w:pPr>
            <w:r w:rsidRPr="00C636BA">
              <w:rPr>
                <w:color w:val="auto"/>
              </w:rPr>
              <w:t>Item</w:t>
            </w:r>
          </w:p>
        </w:tc>
        <w:tc>
          <w:tcPr>
            <w:tcW w:w="3690" w:type="dxa"/>
            <w:tcBorders>
              <w:left w:val="none" w:sz="0" w:space="0" w:color="auto"/>
              <w:right w:val="none" w:sz="0" w:space="0" w:color="auto"/>
            </w:tcBorders>
            <w:vAlign w:val="center"/>
          </w:tcPr>
          <w:p w:rsidR="007D7677" w:rsidRPr="00C636BA" w:rsidRDefault="0099361C" w:rsidP="00C636BA">
            <w:pPr>
              <w:jc w:val="center"/>
              <w:cnfStyle w:val="000000100000"/>
              <w:rPr>
                <w:b/>
                <w:color w:val="auto"/>
              </w:rPr>
            </w:pPr>
            <w:r w:rsidRPr="00C636BA">
              <w:rPr>
                <w:b/>
                <w:color w:val="auto"/>
              </w:rPr>
              <w:t>Details</w:t>
            </w:r>
          </w:p>
        </w:tc>
        <w:tc>
          <w:tcPr>
            <w:tcW w:w="4338" w:type="dxa"/>
            <w:tcBorders>
              <w:left w:val="none" w:sz="0" w:space="0" w:color="auto"/>
              <w:right w:val="none" w:sz="0" w:space="0" w:color="auto"/>
            </w:tcBorders>
            <w:vAlign w:val="center"/>
          </w:tcPr>
          <w:p w:rsidR="007D7677" w:rsidRPr="00C636BA" w:rsidRDefault="0099361C" w:rsidP="00C636BA">
            <w:pPr>
              <w:jc w:val="center"/>
              <w:cnfStyle w:val="000000100000"/>
              <w:rPr>
                <w:b/>
                <w:color w:val="auto"/>
              </w:rPr>
            </w:pPr>
            <w:r w:rsidRPr="00C636BA">
              <w:rPr>
                <w:b/>
                <w:color w:val="auto"/>
              </w:rPr>
              <w:t>Notes</w:t>
            </w:r>
          </w:p>
        </w:tc>
      </w:tr>
      <w:tr w:rsidR="007D7677" w:rsidRPr="00C636BA">
        <w:tc>
          <w:tcPr>
            <w:cnfStyle w:val="001000000000"/>
            <w:tcW w:w="1548" w:type="dxa"/>
            <w:vAlign w:val="center"/>
          </w:tcPr>
          <w:p w:rsidR="007D7677" w:rsidRPr="00C636BA" w:rsidRDefault="007D7677">
            <w:pPr>
              <w:rPr>
                <w:b w:val="0"/>
                <w:color w:val="auto"/>
              </w:rPr>
            </w:pPr>
            <w:r w:rsidRPr="00C636BA">
              <w:rPr>
                <w:b w:val="0"/>
                <w:color w:val="auto"/>
              </w:rPr>
              <w:t>Measure</w:t>
            </w:r>
            <w:r w:rsidR="000C7F39" w:rsidRPr="00C636BA">
              <w:rPr>
                <w:b w:val="0"/>
                <w:color w:val="auto"/>
              </w:rPr>
              <w:t xml:space="preserve"> name</w:t>
            </w:r>
          </w:p>
        </w:tc>
        <w:tc>
          <w:tcPr>
            <w:tcW w:w="3690" w:type="dxa"/>
            <w:vAlign w:val="center"/>
          </w:tcPr>
          <w:p w:rsidR="007D7677" w:rsidRPr="00C636BA" w:rsidRDefault="00891836" w:rsidP="008F305A">
            <w:pPr>
              <w:cnfStyle w:val="000000000000"/>
              <w:rPr>
                <w:color w:val="auto"/>
              </w:rPr>
            </w:pPr>
            <w:r>
              <w:rPr>
                <w:color w:val="auto"/>
              </w:rPr>
              <w:t>LED Panels</w:t>
            </w:r>
          </w:p>
        </w:tc>
        <w:tc>
          <w:tcPr>
            <w:tcW w:w="4338" w:type="dxa"/>
            <w:vAlign w:val="center"/>
          </w:tcPr>
          <w:p w:rsidR="007D7677" w:rsidRDefault="00891836">
            <w:pPr>
              <w:cnfStyle w:val="000000000000"/>
              <w:rPr>
                <w:color w:val="auto"/>
              </w:rPr>
            </w:pPr>
            <w:r>
              <w:rPr>
                <w:color w:val="auto"/>
              </w:rPr>
              <w:t xml:space="preserve">For recessed &amp; other </w:t>
            </w:r>
            <w:r w:rsidR="007C1463">
              <w:rPr>
                <w:color w:val="auto"/>
              </w:rPr>
              <w:t>mountings.</w:t>
            </w:r>
          </w:p>
          <w:p w:rsidR="007C1463" w:rsidRDefault="007C1463">
            <w:pPr>
              <w:cnfStyle w:val="000000000000"/>
              <w:rPr>
                <w:color w:val="auto"/>
              </w:rPr>
            </w:pPr>
          </w:p>
          <w:p w:rsidR="007C1463" w:rsidRPr="00C636BA" w:rsidRDefault="007C1463" w:rsidP="007C1463">
            <w:pPr>
              <w:cnfStyle w:val="000000000000"/>
              <w:rPr>
                <w:color w:val="auto"/>
              </w:rPr>
            </w:pPr>
            <w:r>
              <w:rPr>
                <w:bCs/>
                <w:color w:val="auto"/>
              </w:rPr>
              <w:t>Cal TF may also want to consider workpapers for Linear Ambient Luminaires, the other major DLC application category.</w:t>
            </w:r>
          </w:p>
        </w:tc>
      </w:tr>
      <w:tr w:rsidR="007D7677" w:rsidRPr="00C636BA">
        <w:trPr>
          <w:cnfStyle w:val="000000100000"/>
        </w:trPr>
        <w:tc>
          <w:tcPr>
            <w:cnfStyle w:val="001000000000"/>
            <w:tcW w:w="1548" w:type="dxa"/>
            <w:tcBorders>
              <w:left w:val="none" w:sz="0" w:space="0" w:color="auto"/>
              <w:right w:val="none" w:sz="0" w:space="0" w:color="auto"/>
            </w:tcBorders>
            <w:vAlign w:val="center"/>
          </w:tcPr>
          <w:p w:rsidR="007D7677" w:rsidRPr="00C636BA" w:rsidRDefault="007D7677">
            <w:pPr>
              <w:rPr>
                <w:b w:val="0"/>
                <w:color w:val="auto"/>
              </w:rPr>
            </w:pPr>
            <w:r w:rsidRPr="00C636BA">
              <w:rPr>
                <w:b w:val="0"/>
                <w:color w:val="auto"/>
              </w:rPr>
              <w:t>Measure description</w:t>
            </w:r>
          </w:p>
        </w:tc>
        <w:tc>
          <w:tcPr>
            <w:tcW w:w="3690" w:type="dxa"/>
            <w:tcBorders>
              <w:left w:val="none" w:sz="0" w:space="0" w:color="auto"/>
              <w:right w:val="none" w:sz="0" w:space="0" w:color="auto"/>
            </w:tcBorders>
            <w:vAlign w:val="center"/>
          </w:tcPr>
          <w:p w:rsidR="007D7677" w:rsidRPr="00C636BA" w:rsidRDefault="00891836" w:rsidP="00891836">
            <w:pPr>
              <w:cnfStyle w:val="000000100000"/>
              <w:rPr>
                <w:bCs/>
                <w:color w:val="auto"/>
              </w:rPr>
            </w:pPr>
            <w:r>
              <w:rPr>
                <w:bCs/>
                <w:color w:val="auto"/>
              </w:rPr>
              <w:t xml:space="preserve">Install new LED Panel Fixture or Retrofit Kit in 1’x4’, 2’x4’ or 2’x2’ sizes. Must be DLC-listed for </w:t>
            </w:r>
            <w:r w:rsidRPr="00891836">
              <w:rPr>
                <w:bCs/>
                <w:color w:val="auto"/>
              </w:rPr>
              <w:t>Ambient Lighting of Interior Commercial Spaces</w:t>
            </w:r>
          </w:p>
        </w:tc>
        <w:tc>
          <w:tcPr>
            <w:tcW w:w="4338" w:type="dxa"/>
            <w:tcBorders>
              <w:left w:val="none" w:sz="0" w:space="0" w:color="auto"/>
              <w:right w:val="none" w:sz="0" w:space="0" w:color="auto"/>
            </w:tcBorders>
            <w:vAlign w:val="center"/>
          </w:tcPr>
          <w:p w:rsidR="007D7677" w:rsidRDefault="00A61D06">
            <w:pPr>
              <w:cnfStyle w:val="000000100000"/>
              <w:rPr>
                <w:bCs/>
                <w:color w:val="auto"/>
              </w:rPr>
            </w:pPr>
            <w:hyperlink r:id="rId17" w:history="1">
              <w:r w:rsidR="00891836" w:rsidRPr="00EA5F97">
                <w:rPr>
                  <w:rStyle w:val="Hyperlink"/>
                  <w:bCs/>
                </w:rPr>
                <w:t>http://designlights.org/Content/QPL/ProductSubmit/CategorySpecifications</w:t>
              </w:r>
            </w:hyperlink>
            <w:r w:rsidR="00891836">
              <w:rPr>
                <w:bCs/>
                <w:color w:val="auto"/>
              </w:rPr>
              <w:t>; categories 15, 16, 17, 31, 32, 33</w:t>
            </w:r>
            <w:r w:rsidR="007C1463">
              <w:rPr>
                <w:bCs/>
                <w:color w:val="auto"/>
              </w:rPr>
              <w:t>.</w:t>
            </w:r>
          </w:p>
          <w:p w:rsidR="007C1463" w:rsidRDefault="007C1463">
            <w:pPr>
              <w:cnfStyle w:val="000000100000"/>
              <w:rPr>
                <w:bCs/>
                <w:color w:val="auto"/>
              </w:rPr>
            </w:pPr>
          </w:p>
          <w:p w:rsidR="007C1463" w:rsidRPr="00C636BA" w:rsidRDefault="007C1463" w:rsidP="007C1463">
            <w:pPr>
              <w:cnfStyle w:val="000000100000"/>
              <w:rPr>
                <w:bCs/>
                <w:color w:val="auto"/>
              </w:rPr>
            </w:pPr>
            <w:r>
              <w:rPr>
                <w:bCs/>
                <w:color w:val="auto"/>
              </w:rPr>
              <w:t xml:space="preserve">Linear Ambient Luminaires fall in categories 18 through 21 depending on lumen distribution. </w:t>
            </w:r>
          </w:p>
        </w:tc>
      </w:tr>
      <w:tr w:rsidR="007D7677" w:rsidRPr="00C636BA">
        <w:tc>
          <w:tcPr>
            <w:cnfStyle w:val="001000000000"/>
            <w:tcW w:w="1548" w:type="dxa"/>
            <w:vAlign w:val="center"/>
          </w:tcPr>
          <w:p w:rsidR="007D7677" w:rsidRPr="00C636BA" w:rsidRDefault="007D7677">
            <w:pPr>
              <w:rPr>
                <w:b w:val="0"/>
                <w:color w:val="auto"/>
              </w:rPr>
            </w:pPr>
            <w:r w:rsidRPr="00C636BA">
              <w:rPr>
                <w:b w:val="0"/>
                <w:color w:val="auto"/>
              </w:rPr>
              <w:t>Sector (Res/Non-Res)</w:t>
            </w:r>
          </w:p>
        </w:tc>
        <w:tc>
          <w:tcPr>
            <w:tcW w:w="3690" w:type="dxa"/>
            <w:vAlign w:val="center"/>
          </w:tcPr>
          <w:p w:rsidR="007D7677" w:rsidRPr="00C636BA" w:rsidRDefault="008E3DD3">
            <w:pPr>
              <w:cnfStyle w:val="000000000000"/>
              <w:rPr>
                <w:color w:val="auto"/>
              </w:rPr>
            </w:pPr>
            <w:r>
              <w:rPr>
                <w:color w:val="auto"/>
              </w:rPr>
              <w:t>Non-Res</w:t>
            </w:r>
          </w:p>
        </w:tc>
        <w:tc>
          <w:tcPr>
            <w:tcW w:w="4338" w:type="dxa"/>
            <w:vAlign w:val="center"/>
          </w:tcPr>
          <w:p w:rsidR="007D7677" w:rsidRPr="00C636BA" w:rsidRDefault="007D7677">
            <w:pPr>
              <w:cnfStyle w:val="000000000000"/>
              <w:rPr>
                <w:color w:val="auto"/>
              </w:rPr>
            </w:pPr>
          </w:p>
        </w:tc>
      </w:tr>
      <w:tr w:rsidR="007D7677" w:rsidRPr="00C636BA">
        <w:trPr>
          <w:cnfStyle w:val="000000100000"/>
        </w:trPr>
        <w:tc>
          <w:tcPr>
            <w:cnfStyle w:val="001000000000"/>
            <w:tcW w:w="1548" w:type="dxa"/>
            <w:tcBorders>
              <w:left w:val="none" w:sz="0" w:space="0" w:color="auto"/>
              <w:right w:val="none" w:sz="0" w:space="0" w:color="auto"/>
            </w:tcBorders>
            <w:vAlign w:val="center"/>
          </w:tcPr>
          <w:p w:rsidR="007D7677" w:rsidRPr="00C636BA" w:rsidRDefault="007D7677">
            <w:pPr>
              <w:rPr>
                <w:b w:val="0"/>
                <w:color w:val="auto"/>
              </w:rPr>
            </w:pPr>
            <w:r w:rsidRPr="00C636BA">
              <w:rPr>
                <w:b w:val="0"/>
                <w:color w:val="auto"/>
              </w:rPr>
              <w:t>Subsector (e.g. Ag)</w:t>
            </w:r>
          </w:p>
        </w:tc>
        <w:tc>
          <w:tcPr>
            <w:tcW w:w="3690" w:type="dxa"/>
            <w:tcBorders>
              <w:left w:val="none" w:sz="0" w:space="0" w:color="auto"/>
              <w:right w:val="none" w:sz="0" w:space="0" w:color="auto"/>
            </w:tcBorders>
            <w:vAlign w:val="center"/>
          </w:tcPr>
          <w:p w:rsidR="007D7677" w:rsidRPr="00C636BA" w:rsidRDefault="008E3DD3" w:rsidP="00A76B2E">
            <w:pPr>
              <w:cnfStyle w:val="000000100000"/>
              <w:rPr>
                <w:color w:val="auto"/>
              </w:rPr>
            </w:pPr>
            <w:r>
              <w:rPr>
                <w:color w:val="auto"/>
              </w:rPr>
              <w:t>Office, Retail</w:t>
            </w:r>
            <w:r w:rsidR="00A76B2E">
              <w:rPr>
                <w:color w:val="auto"/>
              </w:rPr>
              <w:t>, Government, High Tech</w:t>
            </w:r>
          </w:p>
        </w:tc>
        <w:tc>
          <w:tcPr>
            <w:tcW w:w="4338" w:type="dxa"/>
            <w:tcBorders>
              <w:left w:val="none" w:sz="0" w:space="0" w:color="auto"/>
              <w:right w:val="none" w:sz="0" w:space="0" w:color="auto"/>
            </w:tcBorders>
            <w:vAlign w:val="center"/>
          </w:tcPr>
          <w:p w:rsidR="007D7677" w:rsidRPr="00C636BA" w:rsidRDefault="007D7677">
            <w:pPr>
              <w:cnfStyle w:val="000000100000"/>
              <w:rPr>
                <w:color w:val="auto"/>
              </w:rPr>
            </w:pPr>
          </w:p>
        </w:tc>
      </w:tr>
      <w:tr w:rsidR="007D7677" w:rsidRPr="00C636BA">
        <w:tc>
          <w:tcPr>
            <w:cnfStyle w:val="001000000000"/>
            <w:tcW w:w="1548" w:type="dxa"/>
            <w:vAlign w:val="center"/>
          </w:tcPr>
          <w:p w:rsidR="007D7677" w:rsidRPr="00C636BA" w:rsidRDefault="0099361C">
            <w:pPr>
              <w:rPr>
                <w:b w:val="0"/>
                <w:color w:val="auto"/>
              </w:rPr>
            </w:pPr>
            <w:r w:rsidRPr="00C636BA">
              <w:rPr>
                <w:b w:val="0"/>
                <w:color w:val="auto"/>
              </w:rPr>
              <w:t>Program(s)</w:t>
            </w:r>
          </w:p>
        </w:tc>
        <w:tc>
          <w:tcPr>
            <w:tcW w:w="3690" w:type="dxa"/>
            <w:vAlign w:val="center"/>
          </w:tcPr>
          <w:p w:rsidR="007D7677" w:rsidRPr="00C636BA" w:rsidRDefault="008E3DD3" w:rsidP="007B6564">
            <w:pPr>
              <w:cnfStyle w:val="000000000000"/>
              <w:rPr>
                <w:color w:val="auto"/>
              </w:rPr>
            </w:pPr>
            <w:r>
              <w:rPr>
                <w:color w:val="auto"/>
              </w:rPr>
              <w:t>Commercial Deemed Lighting Catalog</w:t>
            </w:r>
            <w:r w:rsidR="007C1463">
              <w:rPr>
                <w:color w:val="auto"/>
              </w:rPr>
              <w:t>, Commercial Upstream Deemed incentives, 3</w:t>
            </w:r>
            <w:r w:rsidR="007C1463" w:rsidRPr="007C1463">
              <w:rPr>
                <w:color w:val="auto"/>
                <w:vertAlign w:val="superscript"/>
              </w:rPr>
              <w:t>rd</w:t>
            </w:r>
            <w:r w:rsidR="007C1463">
              <w:rPr>
                <w:color w:val="auto"/>
              </w:rPr>
              <w:t xml:space="preserve"> Party Programs</w:t>
            </w:r>
          </w:p>
        </w:tc>
        <w:tc>
          <w:tcPr>
            <w:tcW w:w="4338" w:type="dxa"/>
            <w:vAlign w:val="center"/>
          </w:tcPr>
          <w:p w:rsidR="007D7677" w:rsidRPr="00C636BA" w:rsidRDefault="007D7677">
            <w:pPr>
              <w:cnfStyle w:val="000000000000"/>
              <w:rPr>
                <w:color w:val="auto"/>
              </w:rPr>
            </w:pPr>
          </w:p>
        </w:tc>
      </w:tr>
      <w:tr w:rsidR="007D7677">
        <w:trPr>
          <w:cnfStyle w:val="000000100000"/>
        </w:trPr>
        <w:tc>
          <w:tcPr>
            <w:cnfStyle w:val="001000000000"/>
            <w:tcW w:w="1548" w:type="dxa"/>
            <w:tcBorders>
              <w:left w:val="none" w:sz="0" w:space="0" w:color="auto"/>
              <w:right w:val="none" w:sz="0" w:space="0" w:color="auto"/>
            </w:tcBorders>
            <w:vAlign w:val="center"/>
          </w:tcPr>
          <w:p w:rsidR="007D7677" w:rsidRPr="00C636BA" w:rsidRDefault="007D7677">
            <w:pPr>
              <w:rPr>
                <w:b w:val="0"/>
                <w:color w:val="auto"/>
              </w:rPr>
            </w:pPr>
          </w:p>
        </w:tc>
        <w:tc>
          <w:tcPr>
            <w:tcW w:w="3690" w:type="dxa"/>
            <w:tcBorders>
              <w:left w:val="none" w:sz="0" w:space="0" w:color="auto"/>
              <w:right w:val="none" w:sz="0" w:space="0" w:color="auto"/>
            </w:tcBorders>
            <w:vAlign w:val="center"/>
          </w:tcPr>
          <w:p w:rsidR="007D7677" w:rsidRPr="00C636BA" w:rsidRDefault="007D7677">
            <w:pPr>
              <w:cnfStyle w:val="000000100000"/>
              <w:rPr>
                <w:color w:val="auto"/>
              </w:rPr>
            </w:pPr>
          </w:p>
        </w:tc>
        <w:tc>
          <w:tcPr>
            <w:tcW w:w="4338" w:type="dxa"/>
            <w:tcBorders>
              <w:left w:val="none" w:sz="0" w:space="0" w:color="auto"/>
              <w:right w:val="none" w:sz="0" w:space="0" w:color="auto"/>
            </w:tcBorders>
            <w:vAlign w:val="center"/>
          </w:tcPr>
          <w:p w:rsidR="007D7677" w:rsidRPr="00C636BA" w:rsidRDefault="007D7677">
            <w:pPr>
              <w:cnfStyle w:val="000000100000"/>
              <w:rPr>
                <w:color w:val="auto"/>
              </w:rPr>
            </w:pPr>
          </w:p>
        </w:tc>
      </w:tr>
      <w:tr w:rsidR="007D7677">
        <w:tc>
          <w:tcPr>
            <w:cnfStyle w:val="001000000000"/>
            <w:tcW w:w="1548" w:type="dxa"/>
            <w:vAlign w:val="center"/>
          </w:tcPr>
          <w:p w:rsidR="007D7677" w:rsidRPr="00C636BA" w:rsidRDefault="007D7677">
            <w:pPr>
              <w:rPr>
                <w:color w:val="auto"/>
              </w:rPr>
            </w:pPr>
          </w:p>
        </w:tc>
        <w:tc>
          <w:tcPr>
            <w:tcW w:w="3690" w:type="dxa"/>
            <w:vAlign w:val="center"/>
          </w:tcPr>
          <w:p w:rsidR="007D7677" w:rsidRPr="00C636BA" w:rsidRDefault="007D7677">
            <w:pPr>
              <w:cnfStyle w:val="000000000000"/>
              <w:rPr>
                <w:color w:val="auto"/>
              </w:rPr>
            </w:pPr>
          </w:p>
        </w:tc>
        <w:tc>
          <w:tcPr>
            <w:tcW w:w="4338" w:type="dxa"/>
            <w:vAlign w:val="center"/>
          </w:tcPr>
          <w:p w:rsidR="007D7677" w:rsidRPr="00C636BA" w:rsidRDefault="007D7677">
            <w:pPr>
              <w:cnfStyle w:val="000000000000"/>
              <w:rPr>
                <w:color w:val="auto"/>
              </w:rPr>
            </w:pPr>
          </w:p>
        </w:tc>
      </w:tr>
      <w:tr w:rsidR="007D7677">
        <w:trPr>
          <w:cnfStyle w:val="000000100000"/>
        </w:trPr>
        <w:tc>
          <w:tcPr>
            <w:cnfStyle w:val="001000000000"/>
            <w:tcW w:w="1548" w:type="dxa"/>
            <w:tcBorders>
              <w:left w:val="none" w:sz="0" w:space="0" w:color="auto"/>
              <w:right w:val="none" w:sz="0" w:space="0" w:color="auto"/>
            </w:tcBorders>
            <w:vAlign w:val="center"/>
          </w:tcPr>
          <w:p w:rsidR="007D7677" w:rsidRPr="00C636BA" w:rsidRDefault="007D7677">
            <w:pPr>
              <w:rPr>
                <w:color w:val="auto"/>
              </w:rPr>
            </w:pPr>
          </w:p>
        </w:tc>
        <w:tc>
          <w:tcPr>
            <w:tcW w:w="3690" w:type="dxa"/>
            <w:tcBorders>
              <w:left w:val="none" w:sz="0" w:space="0" w:color="auto"/>
              <w:right w:val="none" w:sz="0" w:space="0" w:color="auto"/>
            </w:tcBorders>
            <w:vAlign w:val="center"/>
          </w:tcPr>
          <w:p w:rsidR="007D7677" w:rsidRPr="00C636BA" w:rsidRDefault="007D7677">
            <w:pPr>
              <w:cnfStyle w:val="000000100000"/>
              <w:rPr>
                <w:color w:val="auto"/>
              </w:rPr>
            </w:pPr>
          </w:p>
        </w:tc>
        <w:tc>
          <w:tcPr>
            <w:tcW w:w="4338" w:type="dxa"/>
            <w:tcBorders>
              <w:left w:val="none" w:sz="0" w:space="0" w:color="auto"/>
              <w:right w:val="none" w:sz="0" w:space="0" w:color="auto"/>
            </w:tcBorders>
            <w:vAlign w:val="center"/>
          </w:tcPr>
          <w:p w:rsidR="007D7677" w:rsidRPr="00C636BA" w:rsidRDefault="007D7677">
            <w:pPr>
              <w:cnfStyle w:val="000000100000"/>
              <w:rPr>
                <w:color w:val="auto"/>
              </w:rPr>
            </w:pPr>
          </w:p>
        </w:tc>
      </w:tr>
      <w:tr w:rsidR="007D7677">
        <w:tc>
          <w:tcPr>
            <w:cnfStyle w:val="001000000000"/>
            <w:tcW w:w="1548" w:type="dxa"/>
            <w:vAlign w:val="center"/>
          </w:tcPr>
          <w:p w:rsidR="007D7677" w:rsidRPr="00C636BA" w:rsidRDefault="007D7677">
            <w:pPr>
              <w:rPr>
                <w:color w:val="auto"/>
              </w:rPr>
            </w:pPr>
          </w:p>
        </w:tc>
        <w:tc>
          <w:tcPr>
            <w:tcW w:w="3690" w:type="dxa"/>
            <w:vAlign w:val="center"/>
          </w:tcPr>
          <w:p w:rsidR="007D7677" w:rsidRPr="00C636BA" w:rsidRDefault="007D7677">
            <w:pPr>
              <w:cnfStyle w:val="000000000000"/>
              <w:rPr>
                <w:color w:val="auto"/>
              </w:rPr>
            </w:pPr>
          </w:p>
        </w:tc>
        <w:tc>
          <w:tcPr>
            <w:tcW w:w="4338" w:type="dxa"/>
            <w:vAlign w:val="center"/>
          </w:tcPr>
          <w:p w:rsidR="007D7677" w:rsidRPr="00C636BA" w:rsidRDefault="007D7677">
            <w:pPr>
              <w:cnfStyle w:val="000000000000"/>
              <w:rPr>
                <w:color w:val="auto"/>
              </w:rPr>
            </w:pPr>
          </w:p>
        </w:tc>
      </w:tr>
      <w:tr w:rsidR="007D7677">
        <w:trPr>
          <w:cnfStyle w:val="000000100000"/>
        </w:trPr>
        <w:tc>
          <w:tcPr>
            <w:cnfStyle w:val="001000000000"/>
            <w:tcW w:w="1548" w:type="dxa"/>
            <w:tcBorders>
              <w:left w:val="none" w:sz="0" w:space="0" w:color="auto"/>
              <w:right w:val="none" w:sz="0" w:space="0" w:color="auto"/>
            </w:tcBorders>
            <w:vAlign w:val="center"/>
          </w:tcPr>
          <w:p w:rsidR="007D7677" w:rsidRPr="00C636BA" w:rsidRDefault="007D7677">
            <w:pPr>
              <w:rPr>
                <w:color w:val="auto"/>
              </w:rPr>
            </w:pPr>
          </w:p>
        </w:tc>
        <w:tc>
          <w:tcPr>
            <w:tcW w:w="3690" w:type="dxa"/>
            <w:tcBorders>
              <w:left w:val="none" w:sz="0" w:space="0" w:color="auto"/>
              <w:right w:val="none" w:sz="0" w:space="0" w:color="auto"/>
            </w:tcBorders>
            <w:vAlign w:val="center"/>
          </w:tcPr>
          <w:p w:rsidR="007D7677" w:rsidRPr="00C636BA" w:rsidRDefault="007D7677">
            <w:pPr>
              <w:cnfStyle w:val="000000100000"/>
              <w:rPr>
                <w:color w:val="auto"/>
              </w:rPr>
            </w:pPr>
          </w:p>
        </w:tc>
        <w:tc>
          <w:tcPr>
            <w:tcW w:w="4338" w:type="dxa"/>
            <w:tcBorders>
              <w:left w:val="none" w:sz="0" w:space="0" w:color="auto"/>
              <w:right w:val="none" w:sz="0" w:space="0" w:color="auto"/>
            </w:tcBorders>
            <w:vAlign w:val="center"/>
          </w:tcPr>
          <w:p w:rsidR="007D7677" w:rsidRPr="00C636BA" w:rsidRDefault="007D7677">
            <w:pPr>
              <w:cnfStyle w:val="000000100000"/>
              <w:rPr>
                <w:color w:val="auto"/>
              </w:rPr>
            </w:pPr>
          </w:p>
        </w:tc>
      </w:tr>
      <w:tr w:rsidR="007D7677">
        <w:tc>
          <w:tcPr>
            <w:cnfStyle w:val="001000000000"/>
            <w:tcW w:w="1548" w:type="dxa"/>
            <w:vAlign w:val="center"/>
          </w:tcPr>
          <w:p w:rsidR="007D7677" w:rsidRPr="00C636BA" w:rsidRDefault="007D7677">
            <w:pPr>
              <w:rPr>
                <w:color w:val="auto"/>
              </w:rPr>
            </w:pPr>
          </w:p>
        </w:tc>
        <w:tc>
          <w:tcPr>
            <w:tcW w:w="3690" w:type="dxa"/>
            <w:vAlign w:val="center"/>
          </w:tcPr>
          <w:p w:rsidR="007D7677" w:rsidRPr="00C636BA" w:rsidRDefault="007D7677">
            <w:pPr>
              <w:cnfStyle w:val="000000000000"/>
              <w:rPr>
                <w:color w:val="auto"/>
              </w:rPr>
            </w:pPr>
          </w:p>
        </w:tc>
        <w:tc>
          <w:tcPr>
            <w:tcW w:w="4338" w:type="dxa"/>
            <w:vAlign w:val="center"/>
          </w:tcPr>
          <w:p w:rsidR="007D7677" w:rsidRPr="00C636BA" w:rsidRDefault="007D7677">
            <w:pPr>
              <w:cnfStyle w:val="000000000000"/>
              <w:rPr>
                <w:color w:val="auto"/>
              </w:rPr>
            </w:pPr>
          </w:p>
        </w:tc>
      </w:tr>
      <w:tr w:rsidR="007D7677">
        <w:trPr>
          <w:cnfStyle w:val="000000100000"/>
        </w:trPr>
        <w:tc>
          <w:tcPr>
            <w:cnfStyle w:val="001000000000"/>
            <w:tcW w:w="1548" w:type="dxa"/>
            <w:tcBorders>
              <w:left w:val="none" w:sz="0" w:space="0" w:color="auto"/>
              <w:right w:val="none" w:sz="0" w:space="0" w:color="auto"/>
            </w:tcBorders>
            <w:vAlign w:val="center"/>
          </w:tcPr>
          <w:p w:rsidR="007D7677" w:rsidRPr="00C636BA" w:rsidRDefault="007D7677">
            <w:pPr>
              <w:rPr>
                <w:color w:val="auto"/>
              </w:rPr>
            </w:pPr>
          </w:p>
        </w:tc>
        <w:tc>
          <w:tcPr>
            <w:tcW w:w="3690" w:type="dxa"/>
            <w:tcBorders>
              <w:left w:val="none" w:sz="0" w:space="0" w:color="auto"/>
              <w:right w:val="none" w:sz="0" w:space="0" w:color="auto"/>
            </w:tcBorders>
            <w:vAlign w:val="center"/>
          </w:tcPr>
          <w:p w:rsidR="007D7677" w:rsidRPr="00C636BA" w:rsidRDefault="007D7677">
            <w:pPr>
              <w:cnfStyle w:val="000000100000"/>
              <w:rPr>
                <w:color w:val="auto"/>
              </w:rPr>
            </w:pPr>
          </w:p>
        </w:tc>
        <w:tc>
          <w:tcPr>
            <w:tcW w:w="4338" w:type="dxa"/>
            <w:tcBorders>
              <w:left w:val="none" w:sz="0" w:space="0" w:color="auto"/>
              <w:right w:val="none" w:sz="0" w:space="0" w:color="auto"/>
            </w:tcBorders>
            <w:vAlign w:val="center"/>
          </w:tcPr>
          <w:p w:rsidR="007D7677" w:rsidRPr="00C636BA" w:rsidRDefault="007D7677">
            <w:pPr>
              <w:cnfStyle w:val="000000100000"/>
              <w:rPr>
                <w:color w:val="auto"/>
              </w:rPr>
            </w:pPr>
          </w:p>
        </w:tc>
      </w:tr>
      <w:tr w:rsidR="007D7677">
        <w:tc>
          <w:tcPr>
            <w:cnfStyle w:val="001000000000"/>
            <w:tcW w:w="1548" w:type="dxa"/>
            <w:vAlign w:val="center"/>
          </w:tcPr>
          <w:p w:rsidR="007D7677" w:rsidRPr="00C636BA" w:rsidRDefault="007D7677">
            <w:pPr>
              <w:rPr>
                <w:color w:val="auto"/>
              </w:rPr>
            </w:pPr>
            <w:r w:rsidRPr="00C636BA">
              <w:rPr>
                <w:color w:val="auto"/>
              </w:rPr>
              <w:t xml:space="preserve"> </w:t>
            </w:r>
          </w:p>
        </w:tc>
        <w:tc>
          <w:tcPr>
            <w:tcW w:w="3690" w:type="dxa"/>
            <w:vAlign w:val="center"/>
          </w:tcPr>
          <w:p w:rsidR="007D7677" w:rsidRPr="00C636BA" w:rsidRDefault="007D7677">
            <w:pPr>
              <w:cnfStyle w:val="000000000000"/>
              <w:rPr>
                <w:color w:val="auto"/>
              </w:rPr>
            </w:pPr>
          </w:p>
        </w:tc>
        <w:tc>
          <w:tcPr>
            <w:tcW w:w="4338" w:type="dxa"/>
            <w:vAlign w:val="center"/>
          </w:tcPr>
          <w:p w:rsidR="007D7677" w:rsidRPr="00C636BA" w:rsidRDefault="007D7677">
            <w:pPr>
              <w:cnfStyle w:val="000000000000"/>
              <w:rPr>
                <w:color w:val="auto"/>
              </w:rPr>
            </w:pPr>
          </w:p>
        </w:tc>
      </w:tr>
      <w:tr w:rsidR="007D7677">
        <w:trPr>
          <w:cnfStyle w:val="000000100000"/>
        </w:trPr>
        <w:tc>
          <w:tcPr>
            <w:cnfStyle w:val="001000000000"/>
            <w:tcW w:w="1548" w:type="dxa"/>
            <w:tcBorders>
              <w:left w:val="none" w:sz="0" w:space="0" w:color="auto"/>
              <w:right w:val="none" w:sz="0" w:space="0" w:color="auto"/>
            </w:tcBorders>
            <w:vAlign w:val="center"/>
          </w:tcPr>
          <w:p w:rsidR="007D7677" w:rsidRPr="00C636BA" w:rsidRDefault="007D7677">
            <w:pPr>
              <w:rPr>
                <w:color w:val="auto"/>
              </w:rPr>
            </w:pPr>
          </w:p>
        </w:tc>
        <w:tc>
          <w:tcPr>
            <w:tcW w:w="3690" w:type="dxa"/>
            <w:tcBorders>
              <w:left w:val="none" w:sz="0" w:space="0" w:color="auto"/>
              <w:right w:val="none" w:sz="0" w:space="0" w:color="auto"/>
            </w:tcBorders>
            <w:vAlign w:val="center"/>
          </w:tcPr>
          <w:p w:rsidR="007D7677" w:rsidRPr="00C636BA" w:rsidRDefault="007D7677">
            <w:pPr>
              <w:cnfStyle w:val="000000100000"/>
              <w:rPr>
                <w:color w:val="auto"/>
              </w:rPr>
            </w:pPr>
          </w:p>
        </w:tc>
        <w:tc>
          <w:tcPr>
            <w:tcW w:w="4338" w:type="dxa"/>
            <w:tcBorders>
              <w:left w:val="none" w:sz="0" w:space="0" w:color="auto"/>
              <w:right w:val="none" w:sz="0" w:space="0" w:color="auto"/>
            </w:tcBorders>
            <w:vAlign w:val="center"/>
          </w:tcPr>
          <w:p w:rsidR="007D7677" w:rsidRPr="00C636BA" w:rsidRDefault="007D7677">
            <w:pPr>
              <w:cnfStyle w:val="000000100000"/>
              <w:rPr>
                <w:color w:val="auto"/>
              </w:rPr>
            </w:pPr>
          </w:p>
        </w:tc>
      </w:tr>
      <w:tr w:rsidR="007D7677">
        <w:tc>
          <w:tcPr>
            <w:cnfStyle w:val="001000000000"/>
            <w:tcW w:w="1548" w:type="dxa"/>
            <w:vAlign w:val="center"/>
          </w:tcPr>
          <w:p w:rsidR="007D7677" w:rsidRPr="00C636BA" w:rsidRDefault="007D7677">
            <w:pPr>
              <w:rPr>
                <w:color w:val="auto"/>
              </w:rPr>
            </w:pPr>
          </w:p>
        </w:tc>
        <w:tc>
          <w:tcPr>
            <w:tcW w:w="3690" w:type="dxa"/>
            <w:vAlign w:val="center"/>
          </w:tcPr>
          <w:p w:rsidR="007D7677" w:rsidRPr="00C636BA" w:rsidRDefault="007D7677">
            <w:pPr>
              <w:cnfStyle w:val="000000000000"/>
              <w:rPr>
                <w:color w:val="auto"/>
              </w:rPr>
            </w:pPr>
          </w:p>
        </w:tc>
        <w:tc>
          <w:tcPr>
            <w:tcW w:w="4338" w:type="dxa"/>
            <w:vAlign w:val="center"/>
          </w:tcPr>
          <w:p w:rsidR="007D7677" w:rsidRPr="00C636BA" w:rsidRDefault="007D7677">
            <w:pPr>
              <w:cnfStyle w:val="000000000000"/>
              <w:rPr>
                <w:color w:val="auto"/>
              </w:rPr>
            </w:pPr>
          </w:p>
        </w:tc>
      </w:tr>
      <w:tr w:rsidR="007D7677">
        <w:trPr>
          <w:cnfStyle w:val="000000100000"/>
        </w:trPr>
        <w:tc>
          <w:tcPr>
            <w:cnfStyle w:val="001000000000"/>
            <w:tcW w:w="1548" w:type="dxa"/>
            <w:tcBorders>
              <w:left w:val="none" w:sz="0" w:space="0" w:color="auto"/>
              <w:right w:val="none" w:sz="0" w:space="0" w:color="auto"/>
            </w:tcBorders>
            <w:vAlign w:val="center"/>
          </w:tcPr>
          <w:p w:rsidR="007D7677" w:rsidRPr="00C636BA" w:rsidRDefault="007D7677">
            <w:pPr>
              <w:rPr>
                <w:color w:val="auto"/>
              </w:rPr>
            </w:pPr>
          </w:p>
        </w:tc>
        <w:tc>
          <w:tcPr>
            <w:tcW w:w="3690" w:type="dxa"/>
            <w:tcBorders>
              <w:left w:val="none" w:sz="0" w:space="0" w:color="auto"/>
              <w:right w:val="none" w:sz="0" w:space="0" w:color="auto"/>
            </w:tcBorders>
            <w:vAlign w:val="center"/>
          </w:tcPr>
          <w:p w:rsidR="007D7677" w:rsidRPr="00C636BA" w:rsidRDefault="007D7677">
            <w:pPr>
              <w:cnfStyle w:val="000000100000"/>
              <w:rPr>
                <w:color w:val="auto"/>
              </w:rPr>
            </w:pPr>
          </w:p>
        </w:tc>
        <w:tc>
          <w:tcPr>
            <w:tcW w:w="4338" w:type="dxa"/>
            <w:tcBorders>
              <w:left w:val="none" w:sz="0" w:space="0" w:color="auto"/>
              <w:right w:val="none" w:sz="0" w:space="0" w:color="auto"/>
            </w:tcBorders>
            <w:vAlign w:val="center"/>
          </w:tcPr>
          <w:p w:rsidR="007D7677" w:rsidRPr="00C636BA" w:rsidRDefault="007D7677">
            <w:pPr>
              <w:cnfStyle w:val="000000100000"/>
              <w:rPr>
                <w:color w:val="auto"/>
              </w:rPr>
            </w:pPr>
          </w:p>
        </w:tc>
      </w:tr>
      <w:tr w:rsidR="007D7677">
        <w:tc>
          <w:tcPr>
            <w:cnfStyle w:val="001000000000"/>
            <w:tcW w:w="1548" w:type="dxa"/>
            <w:vAlign w:val="center"/>
          </w:tcPr>
          <w:p w:rsidR="007D7677" w:rsidRPr="00C636BA" w:rsidRDefault="007D7677">
            <w:pPr>
              <w:rPr>
                <w:color w:val="auto"/>
              </w:rPr>
            </w:pPr>
          </w:p>
        </w:tc>
        <w:tc>
          <w:tcPr>
            <w:tcW w:w="3690" w:type="dxa"/>
            <w:vAlign w:val="center"/>
          </w:tcPr>
          <w:p w:rsidR="007D7677" w:rsidRPr="00C636BA" w:rsidRDefault="007D7677">
            <w:pPr>
              <w:cnfStyle w:val="000000000000"/>
              <w:rPr>
                <w:color w:val="auto"/>
              </w:rPr>
            </w:pPr>
          </w:p>
        </w:tc>
        <w:tc>
          <w:tcPr>
            <w:tcW w:w="4338" w:type="dxa"/>
            <w:vAlign w:val="center"/>
          </w:tcPr>
          <w:p w:rsidR="007D7677" w:rsidRPr="00C636BA" w:rsidRDefault="007D7677">
            <w:pPr>
              <w:cnfStyle w:val="000000000000"/>
              <w:rPr>
                <w:color w:val="auto"/>
              </w:rPr>
            </w:pPr>
          </w:p>
        </w:tc>
      </w:tr>
    </w:tbl>
    <w:p w:rsidR="007D7677" w:rsidRDefault="007D7677"/>
    <w:p w:rsidR="0099361C" w:rsidRPr="0099361C" w:rsidRDefault="0099361C" w:rsidP="0099361C"/>
    <w:p w:rsidR="007B6564" w:rsidRDefault="007B6564" w:rsidP="00B845D5">
      <w:pPr>
        <w:pStyle w:val="Heading1"/>
        <w:numPr>
          <w:ilvl w:val="0"/>
          <w:numId w:val="24"/>
        </w:numPr>
        <w:ind w:left="360"/>
      </w:pPr>
      <w:r>
        <w:t>Measure Description</w:t>
      </w:r>
    </w:p>
    <w:p w:rsidR="001C1C10" w:rsidRDefault="001C1C10" w:rsidP="001C1C10">
      <w:r>
        <w:t xml:space="preserve">The LED Panel measures are for ambient lighting of interior non-residential spaces.  The base case for replacement on burnout or new construction is a linear fluorescent fixture </w:t>
      </w:r>
      <w:r w:rsidR="00A76B2E">
        <w:t>in the same size.</w:t>
      </w:r>
    </w:p>
    <w:p w:rsidR="0099361C" w:rsidRDefault="0099361C" w:rsidP="00B845D5">
      <w:pPr>
        <w:pStyle w:val="Heading1"/>
        <w:numPr>
          <w:ilvl w:val="0"/>
          <w:numId w:val="24"/>
        </w:numPr>
        <w:ind w:left="360"/>
      </w:pPr>
      <w:r>
        <w:t>Key Terms</w:t>
      </w:r>
    </w:p>
    <w:p w:rsidR="00A76B2E" w:rsidRDefault="00A76B2E" w:rsidP="00A76B2E">
      <w:pPr>
        <w:ind w:left="90"/>
      </w:pPr>
      <w:r>
        <w:t>LED Panel: a luminaire or a retrofit kit for interior spaces with a light-emitting diode source that provides direct illumination. LED Panels are most typically recessed-mounted, but may also be surface-mounted.</w:t>
      </w:r>
    </w:p>
    <w:p w:rsidR="00D767BD" w:rsidRDefault="00D767BD" w:rsidP="00A76B2E"/>
    <w:p w:rsidR="00533BD0" w:rsidRDefault="00533BD0" w:rsidP="00B845D5">
      <w:pPr>
        <w:pStyle w:val="Heading1"/>
        <w:numPr>
          <w:ilvl w:val="0"/>
          <w:numId w:val="24"/>
        </w:numPr>
        <w:ind w:left="360"/>
      </w:pPr>
      <w:r>
        <w:t xml:space="preserve">Program </w:t>
      </w:r>
      <w:r w:rsidR="00B845D5">
        <w:t>Implementation</w:t>
      </w:r>
      <w:r>
        <w:t xml:space="preserve"> Method</w:t>
      </w:r>
    </w:p>
    <w:p w:rsidR="001C1C10" w:rsidRDefault="001C1C10" w:rsidP="00D767BD">
      <w:pPr>
        <w:rPr>
          <w:i/>
          <w:color w:val="FF0000"/>
        </w:rPr>
      </w:pPr>
      <w:r>
        <w:t>The LED Panel measures are intended for upstream, midstream, downstream and direct install program delivery. Residential sectors are excluded. LED Panel measures may be NC, ROB, or ER.</w:t>
      </w:r>
    </w:p>
    <w:p w:rsidR="00E7604D" w:rsidRDefault="00E7604D" w:rsidP="00E7604D">
      <w:pPr>
        <w:pStyle w:val="Heading1"/>
        <w:numPr>
          <w:ilvl w:val="0"/>
          <w:numId w:val="24"/>
        </w:numPr>
        <w:ind w:left="360"/>
      </w:pPr>
      <w:r>
        <w:t>Mixed Baseline</w:t>
      </w:r>
    </w:p>
    <w:p w:rsidR="001C1C10" w:rsidRDefault="001C1C10">
      <w:r>
        <w:t>We assume a 100% fluorescent baseline for the LED Panel measures, given the low penetration of LED lighting and the assumption that existing LED luminaires are unlikely to be targeted for replacement.</w:t>
      </w:r>
      <w:r w:rsidR="007C1463">
        <w:t xml:space="preserve"> </w:t>
      </w:r>
      <w:r w:rsidR="00D0114F">
        <w:t>The DOE in May 2013 estimated LED penetration in the recessed market at less than 0.1%.</w:t>
      </w:r>
      <w:r w:rsidR="00D0114F">
        <w:rPr>
          <w:rStyle w:val="EndnoteReference"/>
        </w:rPr>
        <w:endnoteReference w:id="1"/>
      </w:r>
    </w:p>
    <w:p w:rsidR="00DB6FFA" w:rsidRDefault="00DB6FFA">
      <w:pPr>
        <w:rPr>
          <w:i/>
          <w:color w:val="FF0000"/>
        </w:rPr>
      </w:pPr>
      <w:r>
        <w:t xml:space="preserve"> We think that the baseline is a mixture of  1</w:t>
      </w:r>
      <w:r w:rsidRPr="00DB6FFA">
        <w:rPr>
          <w:vertAlign w:val="superscript"/>
        </w:rPr>
        <w:t>st</w:t>
      </w:r>
      <w:r>
        <w:t xml:space="preserve"> and 2</w:t>
      </w:r>
      <w:r w:rsidRPr="001C1C10">
        <w:rPr>
          <w:vertAlign w:val="superscript"/>
        </w:rPr>
        <w:t>nd</w:t>
      </w:r>
      <w:r>
        <w:t xml:space="preserve"> generation T8s but </w:t>
      </w:r>
      <w:r w:rsidR="00D57019">
        <w:t xml:space="preserve">the TF may want to consider these contributors to the baseline solution as well as the potential of using some </w:t>
      </w:r>
      <w:r>
        <w:t xml:space="preserve">T12s.  </w:t>
      </w:r>
      <w:r w:rsidR="00D57019">
        <w:t xml:space="preserve">Should we be </w:t>
      </w:r>
      <w:r>
        <w:t>claiming savings for equipment that does not meet current CA code, but which the owner is allowed to continue operating if no code-triggering lighting modification is pursued</w:t>
      </w:r>
      <w:r w:rsidR="00D57019">
        <w:t>?</w:t>
      </w:r>
    </w:p>
    <w:p w:rsidR="00D767BD" w:rsidRDefault="00D767BD" w:rsidP="00D767BD">
      <w:pPr>
        <w:pStyle w:val="Heading1"/>
        <w:numPr>
          <w:ilvl w:val="0"/>
          <w:numId w:val="24"/>
        </w:numPr>
        <w:ind w:left="360"/>
      </w:pPr>
      <w:r>
        <w:t>Measure Sum</w:t>
      </w:r>
      <w:r w:rsidRPr="00D0114F">
        <w:rPr>
          <w:b w:val="0"/>
        </w:rPr>
        <w:t>m</w:t>
      </w:r>
      <w:r>
        <w:t>ary</w:t>
      </w:r>
    </w:p>
    <w:p w:rsidR="00EC2860" w:rsidRDefault="00EC2860" w:rsidP="00D767BD"/>
    <w:p w:rsidR="00C636BA" w:rsidRDefault="00C636BA" w:rsidP="00C636BA">
      <w:pPr>
        <w:spacing w:after="60"/>
      </w:pPr>
      <w:r>
        <w:rPr>
          <w:b/>
        </w:rPr>
        <w:t>Table 2</w:t>
      </w:r>
      <w:r w:rsidRPr="00C636BA">
        <w:rPr>
          <w:b/>
        </w:rPr>
        <w:t>.</w:t>
      </w:r>
      <w:r>
        <w:t xml:space="preserve"> Measure Summary</w:t>
      </w:r>
    </w:p>
    <w:tbl>
      <w:tblPr>
        <w:tblStyle w:val="TableGrid"/>
        <w:tblW w:w="899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6" w:space="0" w:color="4BACC6" w:themeColor="accent5"/>
          <w:insideV w:val="single" w:sz="6" w:space="0" w:color="4BACC6" w:themeColor="accent5"/>
        </w:tblBorders>
        <w:shd w:val="clear" w:color="auto" w:fill="FFFFFF" w:themeFill="background1"/>
        <w:tblLook w:val="04A0"/>
      </w:tblPr>
      <w:tblGrid>
        <w:gridCol w:w="4040"/>
        <w:gridCol w:w="4950"/>
      </w:tblGrid>
      <w:tr w:rsidR="00D767BD" w:rsidRPr="00C636BA">
        <w:tc>
          <w:tcPr>
            <w:tcW w:w="4040" w:type="dxa"/>
            <w:shd w:val="clear" w:color="auto" w:fill="DAEEF3" w:themeFill="accent5" w:themeFillTint="33"/>
            <w:vAlign w:val="center"/>
          </w:tcPr>
          <w:p w:rsidR="00D767BD" w:rsidRPr="00C636BA" w:rsidRDefault="00E7604D" w:rsidP="00C636BA">
            <w:pPr>
              <w:jc w:val="center"/>
              <w:rPr>
                <w:b/>
              </w:rPr>
            </w:pPr>
            <w:r w:rsidRPr="00C636BA">
              <w:rPr>
                <w:b/>
              </w:rPr>
              <w:t>Characteristic</w:t>
            </w:r>
          </w:p>
        </w:tc>
        <w:tc>
          <w:tcPr>
            <w:tcW w:w="4950" w:type="dxa"/>
            <w:shd w:val="clear" w:color="auto" w:fill="DAEEF3" w:themeFill="accent5" w:themeFillTint="33"/>
            <w:vAlign w:val="center"/>
          </w:tcPr>
          <w:p w:rsidR="00D767BD" w:rsidRPr="00C636BA" w:rsidRDefault="00E7604D" w:rsidP="00C636BA">
            <w:pPr>
              <w:jc w:val="center"/>
              <w:rPr>
                <w:b/>
              </w:rPr>
            </w:pPr>
            <w:r w:rsidRPr="00C636BA">
              <w:rPr>
                <w:b/>
              </w:rPr>
              <w:t>Measure</w:t>
            </w:r>
          </w:p>
        </w:tc>
      </w:tr>
      <w:tr w:rsidR="00D767BD" w:rsidRPr="00E7604D">
        <w:tc>
          <w:tcPr>
            <w:tcW w:w="4040" w:type="dxa"/>
            <w:shd w:val="clear" w:color="auto" w:fill="FFFFFF" w:themeFill="background1"/>
            <w:vAlign w:val="center"/>
          </w:tcPr>
          <w:p w:rsidR="00D767BD" w:rsidRPr="00E7604D" w:rsidRDefault="002461C8" w:rsidP="00C636BA">
            <w:r>
              <w:t>Baseline Technology or Mix</w:t>
            </w:r>
          </w:p>
        </w:tc>
        <w:tc>
          <w:tcPr>
            <w:tcW w:w="4950" w:type="dxa"/>
            <w:shd w:val="clear" w:color="auto" w:fill="FFFFFF" w:themeFill="background1"/>
          </w:tcPr>
          <w:p w:rsidR="00D767BD" w:rsidRPr="00E7604D" w:rsidRDefault="001C1C10" w:rsidP="00E7604D">
            <w:pPr>
              <w:jc w:val="center"/>
            </w:pPr>
            <w:r>
              <w:t>Linear Fluorescent</w:t>
            </w:r>
          </w:p>
        </w:tc>
      </w:tr>
      <w:tr w:rsidR="00D767BD" w:rsidRPr="00E7604D">
        <w:tc>
          <w:tcPr>
            <w:tcW w:w="4040" w:type="dxa"/>
            <w:shd w:val="clear" w:color="auto" w:fill="DAEEF3" w:themeFill="accent5" w:themeFillTint="33"/>
            <w:vAlign w:val="center"/>
          </w:tcPr>
          <w:p w:rsidR="00D767BD" w:rsidRPr="00E7604D" w:rsidRDefault="002461C8" w:rsidP="00C636BA">
            <w:r>
              <w:t>Measure Technology</w:t>
            </w:r>
          </w:p>
        </w:tc>
        <w:tc>
          <w:tcPr>
            <w:tcW w:w="4950" w:type="dxa"/>
            <w:shd w:val="clear" w:color="auto" w:fill="DAEEF3" w:themeFill="accent5" w:themeFillTint="33"/>
          </w:tcPr>
          <w:p w:rsidR="00D767BD" w:rsidRPr="00E7604D" w:rsidRDefault="00A76B2E" w:rsidP="00E7604D">
            <w:pPr>
              <w:jc w:val="center"/>
            </w:pPr>
            <w:r>
              <w:t>LED</w:t>
            </w:r>
          </w:p>
        </w:tc>
      </w:tr>
      <w:tr w:rsidR="002E256D" w:rsidRPr="00D767BD">
        <w:tc>
          <w:tcPr>
            <w:tcW w:w="4040" w:type="dxa"/>
            <w:shd w:val="clear" w:color="auto" w:fill="FFFFFF" w:themeFill="background1"/>
            <w:vAlign w:val="center"/>
          </w:tcPr>
          <w:p w:rsidR="002E256D" w:rsidRPr="00D767BD" w:rsidRDefault="002E256D" w:rsidP="00C636BA">
            <w:r>
              <w:t>Measure Application Type</w:t>
            </w:r>
          </w:p>
        </w:tc>
        <w:tc>
          <w:tcPr>
            <w:tcW w:w="4950" w:type="dxa"/>
            <w:shd w:val="clear" w:color="auto" w:fill="FFFFFF" w:themeFill="background1"/>
          </w:tcPr>
          <w:p w:rsidR="002E256D" w:rsidRPr="00D767BD" w:rsidRDefault="002E256D" w:rsidP="007C1463">
            <w:pPr>
              <w:jc w:val="center"/>
            </w:pPr>
            <w:r>
              <w:t xml:space="preserve">ROB, NC, </w:t>
            </w:r>
            <w:r w:rsidR="001C1C10">
              <w:t xml:space="preserve">and </w:t>
            </w:r>
            <w:r>
              <w:t>ER</w:t>
            </w:r>
          </w:p>
        </w:tc>
      </w:tr>
      <w:tr w:rsidR="002E256D" w:rsidRPr="00D767BD">
        <w:tc>
          <w:tcPr>
            <w:tcW w:w="4040" w:type="dxa"/>
            <w:shd w:val="clear" w:color="auto" w:fill="DAEEF3" w:themeFill="accent5" w:themeFillTint="33"/>
            <w:vAlign w:val="center"/>
          </w:tcPr>
          <w:p w:rsidR="002E256D" w:rsidRPr="00D767BD" w:rsidRDefault="002E256D" w:rsidP="00C636BA">
            <w:r>
              <w:t>Delivery Mechanism</w:t>
            </w:r>
          </w:p>
        </w:tc>
        <w:tc>
          <w:tcPr>
            <w:tcW w:w="4950" w:type="dxa"/>
            <w:shd w:val="clear" w:color="auto" w:fill="DAEEF3" w:themeFill="accent5" w:themeFillTint="33"/>
          </w:tcPr>
          <w:p w:rsidR="002E256D" w:rsidRPr="00D767BD" w:rsidRDefault="002E256D" w:rsidP="007C1463">
            <w:pPr>
              <w:jc w:val="center"/>
            </w:pPr>
            <w:r>
              <w:t xml:space="preserve">Upstream, Midstream, Downstream, </w:t>
            </w:r>
            <w:r w:rsidR="001C1C10">
              <w:t xml:space="preserve">and </w:t>
            </w:r>
            <w:r>
              <w:t>D</w:t>
            </w:r>
            <w:r w:rsidR="007C1463">
              <w:t xml:space="preserve">irect </w:t>
            </w:r>
            <w:r>
              <w:t>I</w:t>
            </w:r>
            <w:r w:rsidR="007C1463">
              <w:t>nstall</w:t>
            </w:r>
          </w:p>
        </w:tc>
      </w:tr>
      <w:tr w:rsidR="002461C8" w:rsidRPr="00E7604D">
        <w:tc>
          <w:tcPr>
            <w:tcW w:w="4040" w:type="dxa"/>
            <w:shd w:val="clear" w:color="auto" w:fill="FFFFFF" w:themeFill="background1"/>
            <w:vAlign w:val="center"/>
          </w:tcPr>
          <w:p w:rsidR="002461C8" w:rsidRPr="00E7604D" w:rsidRDefault="002461C8" w:rsidP="00C636BA">
            <w:r>
              <w:t>Impacted Markets</w:t>
            </w:r>
          </w:p>
        </w:tc>
        <w:tc>
          <w:tcPr>
            <w:tcW w:w="4950" w:type="dxa"/>
            <w:shd w:val="clear" w:color="auto" w:fill="FFFFFF" w:themeFill="background1"/>
          </w:tcPr>
          <w:p w:rsidR="002461C8" w:rsidRPr="00E7604D" w:rsidRDefault="007C1463" w:rsidP="001C1C10">
            <w:pPr>
              <w:jc w:val="center"/>
            </w:pPr>
            <w:r>
              <w:t>All Non-Residential;</w:t>
            </w:r>
            <w:r w:rsidR="001C1C10">
              <w:t xml:space="preserve"> primarily c</w:t>
            </w:r>
            <w:r w:rsidR="002461C8">
              <w:t>ommercial</w:t>
            </w:r>
          </w:p>
        </w:tc>
      </w:tr>
      <w:tr w:rsidR="002461C8" w:rsidRPr="00E7604D">
        <w:tc>
          <w:tcPr>
            <w:tcW w:w="4040" w:type="dxa"/>
            <w:shd w:val="clear" w:color="auto" w:fill="DAEEF3" w:themeFill="accent5" w:themeFillTint="33"/>
            <w:vAlign w:val="center"/>
          </w:tcPr>
          <w:p w:rsidR="002461C8" w:rsidRPr="00E7604D" w:rsidRDefault="002461C8" w:rsidP="00C636BA">
            <w:r>
              <w:t>Relevant Codes and Standards</w:t>
            </w:r>
          </w:p>
        </w:tc>
        <w:tc>
          <w:tcPr>
            <w:tcW w:w="4950" w:type="dxa"/>
            <w:shd w:val="clear" w:color="auto" w:fill="DAEEF3" w:themeFill="accent5" w:themeFillTint="33"/>
          </w:tcPr>
          <w:p w:rsidR="002461C8" w:rsidRPr="00E7604D" w:rsidRDefault="002461C8" w:rsidP="001C1C10">
            <w:pPr>
              <w:jc w:val="center"/>
            </w:pPr>
            <w:r>
              <w:t>T2</w:t>
            </w:r>
            <w:r w:rsidR="001C1C10">
              <w:t>4</w:t>
            </w:r>
            <w:r>
              <w:t>, T2</w:t>
            </w:r>
            <w:r w:rsidR="001C1C10">
              <w:t>0</w:t>
            </w:r>
            <w:r>
              <w:t xml:space="preserve">, federal </w:t>
            </w:r>
            <w:r w:rsidR="001C1C10">
              <w:t xml:space="preserve">lamp and ballast </w:t>
            </w:r>
            <w:r>
              <w:t>standard</w:t>
            </w:r>
            <w:r w:rsidR="001C1C10">
              <w:t>s</w:t>
            </w:r>
          </w:p>
        </w:tc>
      </w:tr>
    </w:tbl>
    <w:p w:rsidR="00D767BD" w:rsidRDefault="00D767BD" w:rsidP="00A76B2E"/>
    <w:p w:rsidR="00533BD0" w:rsidRDefault="00F64ED0" w:rsidP="00B845D5">
      <w:pPr>
        <w:pStyle w:val="Heading1"/>
        <w:numPr>
          <w:ilvl w:val="0"/>
          <w:numId w:val="24"/>
        </w:numPr>
        <w:ind w:left="360"/>
      </w:pPr>
      <w:r>
        <w:t>Estimated Size of O</w:t>
      </w:r>
      <w:r w:rsidR="00533BD0">
        <w:t>ffer (Number of Participants)</w:t>
      </w:r>
    </w:p>
    <w:p w:rsidR="000118A4" w:rsidRPr="008D1722" w:rsidRDefault="000118A4" w:rsidP="000118A4">
      <w:pPr>
        <w:rPr>
          <w:rFonts w:cs="Arial"/>
          <w:b/>
          <w:i/>
          <w:szCs w:val="22"/>
        </w:rPr>
      </w:pPr>
      <w:r w:rsidRPr="008D1722">
        <w:rPr>
          <w:rFonts w:cs="Arial"/>
          <w:szCs w:val="22"/>
        </w:rPr>
        <w:t>Market potential estimates are from the 2008 CASE Report on linear fluorescent fixtures, preliminary version.</w:t>
      </w:r>
      <w:r w:rsidRPr="008D1722">
        <w:rPr>
          <w:rStyle w:val="EndnoteReference"/>
          <w:rFonts w:cs="Arial"/>
          <w:szCs w:val="22"/>
        </w:rPr>
        <w:endnoteReference w:id="2"/>
      </w:r>
      <w:r w:rsidR="000A5968">
        <w:rPr>
          <w:rFonts w:cs="Arial"/>
          <w:szCs w:val="22"/>
        </w:rPr>
        <w:t xml:space="preserve">   Page 12</w:t>
      </w:r>
      <w:r w:rsidRPr="008D1722">
        <w:rPr>
          <w:rFonts w:cs="Arial"/>
          <w:szCs w:val="22"/>
        </w:rPr>
        <w:t xml:space="preserve"> of this report states:</w:t>
      </w:r>
    </w:p>
    <w:p w:rsidR="000118A4" w:rsidRPr="008D1722" w:rsidRDefault="000118A4" w:rsidP="000118A4">
      <w:pPr>
        <w:ind w:left="720"/>
        <w:rPr>
          <w:rFonts w:cs="Arial"/>
          <w:szCs w:val="22"/>
        </w:rPr>
      </w:pPr>
    </w:p>
    <w:p w:rsidR="000118A4" w:rsidRPr="008D1722" w:rsidRDefault="000118A4" w:rsidP="000118A4">
      <w:pPr>
        <w:ind w:left="720"/>
        <w:rPr>
          <w:rFonts w:cs="Arial"/>
          <w:szCs w:val="22"/>
        </w:rPr>
      </w:pPr>
      <w:r w:rsidRPr="008D1722">
        <w:rPr>
          <w:rFonts w:cs="Arial"/>
          <w:szCs w:val="22"/>
        </w:rPr>
        <w:t>“Based on 2005 ballast sales from the U.S. Census Bureau (2006), 83 million fluorescent ballasts are shipped each year nationwide and 72% are shipped to fixture manufacturers.  Of the total ballasts shipped, 5 million of these (7%) are intended for use in the residential sector, not including imports (which are likely significant). We estimate that California represents 9.06% of this market, based on the percentage of national commercial floor area in the Pacific West census region (EIA, 2003) and the portion of the Pacific West population that resides in California (Census Bureau, 2002). For California’s share of residential fixture sales, we chose 10.9% based on population only.  Assuming a 25-year life for most four-foot fluorescent fixtures, we derived existing stock estimates for commercial and residential fixtures, as shown in Table 7. By these assumptions we estimate that there are 5.1 million linear fluorescent fixtures sold each year in the California commercial building sector, excluding T5 fixtures, along with another 0.4 million fixtures sold in the residential market.”</w:t>
      </w:r>
    </w:p>
    <w:p w:rsidR="000118A4" w:rsidRPr="008D1722" w:rsidRDefault="000118A4" w:rsidP="000118A4">
      <w:pPr>
        <w:rPr>
          <w:rFonts w:cs="Arial"/>
          <w:szCs w:val="22"/>
        </w:rPr>
      </w:pPr>
    </w:p>
    <w:p w:rsidR="000118A4" w:rsidRPr="008D1722" w:rsidRDefault="000118A4" w:rsidP="000118A4">
      <w:pPr>
        <w:rPr>
          <w:rFonts w:cs="Arial"/>
          <w:szCs w:val="22"/>
        </w:rPr>
      </w:pPr>
      <w:r w:rsidRPr="008D1722">
        <w:rPr>
          <w:rFonts w:cs="Arial"/>
          <w:szCs w:val="22"/>
        </w:rPr>
        <w:t>The total number of linear fluorescent fixtures sold in PG&amp;E territory for the commercial building sector can be calculated from this California statewide sales estimate of 5.1 million fixtures, by applying PG&amp;E’s share of statewide electricity sales. According to the California Energy Commission’s (CEC’s) 2006 numbers, PG&amp;E sold 31.8% of the kWh in California.</w:t>
      </w:r>
      <w:r w:rsidRPr="008D1722">
        <w:rPr>
          <w:rStyle w:val="EndnoteReference"/>
          <w:rFonts w:cs="Arial"/>
          <w:b/>
          <w:bCs/>
          <w:i/>
          <w:iCs/>
          <w:szCs w:val="22"/>
        </w:rPr>
        <w:endnoteReference w:id="3"/>
      </w:r>
      <w:r w:rsidRPr="008D1722">
        <w:rPr>
          <w:rFonts w:cs="Arial"/>
          <w:szCs w:val="22"/>
        </w:rPr>
        <w:t xml:space="preserve">   The resultant estimate of fluorescent fixtures sales sold annual in PG&amp;E </w:t>
      </w:r>
      <w:r w:rsidR="00002F4F" w:rsidRPr="008D1722">
        <w:rPr>
          <w:rFonts w:cs="Arial"/>
          <w:szCs w:val="22"/>
        </w:rPr>
        <w:t xml:space="preserve">service </w:t>
      </w:r>
      <w:r w:rsidRPr="008D1722">
        <w:rPr>
          <w:rFonts w:cs="Arial"/>
          <w:szCs w:val="22"/>
        </w:rPr>
        <w:t>terr</w:t>
      </w:r>
      <w:r w:rsidR="00002F4F" w:rsidRPr="008D1722">
        <w:rPr>
          <w:rFonts w:cs="Arial"/>
          <w:szCs w:val="22"/>
        </w:rPr>
        <w:t xml:space="preserve">itory is 1.6 million fixtures. At </w:t>
      </w:r>
      <w:r w:rsidR="000A5968">
        <w:rPr>
          <w:rFonts w:cs="Arial"/>
          <w:szCs w:val="22"/>
        </w:rPr>
        <w:t xml:space="preserve">annual </w:t>
      </w:r>
      <w:r w:rsidR="00002F4F" w:rsidRPr="008D1722">
        <w:rPr>
          <w:rFonts w:cs="Arial"/>
          <w:szCs w:val="22"/>
        </w:rPr>
        <w:t>adoption rates of 5%</w:t>
      </w:r>
      <w:r w:rsidR="000A5968">
        <w:rPr>
          <w:rFonts w:cs="Arial"/>
          <w:szCs w:val="22"/>
        </w:rPr>
        <w:t xml:space="preserve"> (based on U.S. LED Adoption Forecast from DOE 2012 Report</w:t>
      </w:r>
      <w:r w:rsidR="000A5968">
        <w:rPr>
          <w:rStyle w:val="EndnoteReference"/>
          <w:rFonts w:cs="Arial"/>
          <w:szCs w:val="22"/>
        </w:rPr>
        <w:endnoteReference w:id="4"/>
      </w:r>
      <w:r w:rsidR="000A5968">
        <w:rPr>
          <w:rFonts w:cs="Arial"/>
          <w:szCs w:val="22"/>
        </w:rPr>
        <w:t>)</w:t>
      </w:r>
      <w:r w:rsidR="00002F4F" w:rsidRPr="008D1722">
        <w:rPr>
          <w:rFonts w:cs="Arial"/>
          <w:szCs w:val="22"/>
        </w:rPr>
        <w:t xml:space="preserve">, LED Panel measures might see sales of 80,000 units in PG&amp;E service territory. </w:t>
      </w:r>
    </w:p>
    <w:p w:rsidR="000118A4" w:rsidRDefault="000118A4" w:rsidP="000118A4">
      <w:pPr>
        <w:rPr>
          <w:rFonts w:cs="Arial"/>
          <w:sz w:val="20"/>
          <w:szCs w:val="20"/>
        </w:rPr>
      </w:pPr>
    </w:p>
    <w:p w:rsidR="00F64ED0" w:rsidRPr="00F64ED0" w:rsidRDefault="00F64ED0" w:rsidP="00B845D5">
      <w:pPr>
        <w:pStyle w:val="Heading1"/>
        <w:numPr>
          <w:ilvl w:val="0"/>
          <w:numId w:val="24"/>
        </w:numPr>
        <w:ind w:left="360"/>
      </w:pPr>
      <w:r>
        <w:t>Estimated Impact of the Measure on S</w:t>
      </w:r>
      <w:r w:rsidR="00533BD0">
        <w:t xml:space="preserve">tatewide </w:t>
      </w:r>
      <w:r>
        <w:t>Energy Efficiency S</w:t>
      </w:r>
      <w:r w:rsidR="00533BD0">
        <w:t>avings.</w:t>
      </w:r>
    </w:p>
    <w:p w:rsidR="00002F4F" w:rsidRPr="008D1722" w:rsidRDefault="00002F4F" w:rsidP="00002F4F">
      <w:pPr>
        <w:rPr>
          <w:rFonts w:cs="Arial"/>
          <w:szCs w:val="22"/>
        </w:rPr>
      </w:pPr>
      <w:r w:rsidRPr="008D1722">
        <w:rPr>
          <w:rFonts w:cs="Arial"/>
          <w:szCs w:val="22"/>
        </w:rPr>
        <w:t>The DOE’s May 2013 study on Adoption of Light-Emitting Diodes in Common Lighting Applications found addressable potential LED Energy Savings in recessed applications nationwide of 110.4 TWh,</w:t>
      </w:r>
      <w:r w:rsidRPr="008D1722">
        <w:rPr>
          <w:rStyle w:val="EndnoteReference"/>
          <w:rFonts w:cs="Arial"/>
          <w:szCs w:val="22"/>
        </w:rPr>
        <w:endnoteReference w:id="5"/>
      </w:r>
      <w:r w:rsidRPr="008D1722">
        <w:rPr>
          <w:rFonts w:cs="Arial"/>
          <w:szCs w:val="22"/>
        </w:rPr>
        <w:t xml:space="preserve"> which would correspond to 10 TWh statewide and 3.2 TWh in PG&amp;E service territory. Even at 4% stock turnover annually, this market could generate savings of 120 GWh.</w:t>
      </w:r>
    </w:p>
    <w:p w:rsidR="00B845D5" w:rsidRPr="00B845D5" w:rsidRDefault="00B845D5" w:rsidP="00002F4F">
      <w:pPr>
        <w:rPr>
          <w:color w:val="FF0000"/>
        </w:rPr>
      </w:pPr>
    </w:p>
    <w:p w:rsidR="002E256D" w:rsidRDefault="002E256D" w:rsidP="002E256D">
      <w:pPr>
        <w:pStyle w:val="Heading1"/>
        <w:numPr>
          <w:ilvl w:val="0"/>
          <w:numId w:val="24"/>
        </w:numPr>
        <w:ind w:left="360"/>
      </w:pPr>
      <w:r>
        <w:t>Applicable DEER</w:t>
      </w:r>
    </w:p>
    <w:p w:rsidR="003C4BA9" w:rsidRPr="008D1722" w:rsidRDefault="008D1722" w:rsidP="002E256D">
      <w:pPr>
        <w:rPr>
          <w:rFonts w:cs="Arial"/>
          <w:szCs w:val="22"/>
        </w:rPr>
      </w:pPr>
      <w:r w:rsidRPr="008D1722">
        <w:rPr>
          <w:rFonts w:cs="Arial"/>
          <w:szCs w:val="22"/>
        </w:rPr>
        <w:t>The existing DEER measures for LED luminaires are not applicable</w:t>
      </w:r>
      <w:r w:rsidR="003C4BA9" w:rsidRPr="008D1722">
        <w:rPr>
          <w:rFonts w:cs="Arial"/>
          <w:szCs w:val="22"/>
        </w:rPr>
        <w:t>. There are 40 DEER measures for Commercial Indoor General Lighting with Tech Type eq</w:t>
      </w:r>
      <w:r w:rsidRPr="008D1722">
        <w:rPr>
          <w:rFonts w:cs="Arial"/>
          <w:szCs w:val="22"/>
        </w:rPr>
        <w:t>u</w:t>
      </w:r>
      <w:r w:rsidR="003C4BA9" w:rsidRPr="008D1722">
        <w:rPr>
          <w:rFonts w:cs="Arial"/>
          <w:szCs w:val="22"/>
        </w:rPr>
        <w:t>al to LED_fixt.</w:t>
      </w:r>
      <w:r w:rsidR="00A75616">
        <w:rPr>
          <w:rStyle w:val="EndnoteReference"/>
          <w:rFonts w:cs="Arial"/>
          <w:szCs w:val="22"/>
        </w:rPr>
        <w:endnoteReference w:id="6"/>
      </w:r>
      <w:r w:rsidR="003C4BA9" w:rsidRPr="008D1722">
        <w:rPr>
          <w:rFonts w:cs="Arial"/>
          <w:szCs w:val="22"/>
        </w:rPr>
        <w:t xml:space="preserve">  13 of those</w:t>
      </w:r>
      <w:r w:rsidR="00A75616">
        <w:rPr>
          <w:rFonts w:cs="Arial"/>
          <w:szCs w:val="22"/>
        </w:rPr>
        <w:t xml:space="preserve"> 40</w:t>
      </w:r>
      <w:r w:rsidR="003C4BA9" w:rsidRPr="008D1722">
        <w:rPr>
          <w:rFonts w:cs="Arial"/>
          <w:szCs w:val="22"/>
        </w:rPr>
        <w:t xml:space="preserve"> reference only HID basecase fixtures, not appropriate in the recessed </w:t>
      </w:r>
      <w:r w:rsidR="00430F5B" w:rsidRPr="008D1722">
        <w:rPr>
          <w:rFonts w:cs="Arial"/>
          <w:szCs w:val="22"/>
        </w:rPr>
        <w:t>troffer market. Of the remaining DEER measures, all are for measure wattages less than 26 Watts or more than 130 Watts.  The larger wattage measures generally came from workpapers for High-Bay fixtures, and the lower wattage measures generally have medium screw-base lamps as their basecase.  None of the DEER measures are ap</w:t>
      </w:r>
      <w:r w:rsidRPr="008D1722">
        <w:rPr>
          <w:rFonts w:cs="Arial"/>
          <w:szCs w:val="22"/>
        </w:rPr>
        <w:t>plicable to LED fixtures replac</w:t>
      </w:r>
      <w:r w:rsidR="00430F5B" w:rsidRPr="008D1722">
        <w:rPr>
          <w:rFonts w:cs="Arial"/>
          <w:szCs w:val="22"/>
        </w:rPr>
        <w:t>ing linear fluorescent fixtures in the</w:t>
      </w:r>
      <w:r w:rsidR="00BD5DEC">
        <w:rPr>
          <w:rFonts w:cs="Arial"/>
          <w:szCs w:val="22"/>
        </w:rPr>
        <w:t xml:space="preserve"> </w:t>
      </w:r>
      <w:r w:rsidR="00430F5B" w:rsidRPr="008D1722">
        <w:rPr>
          <w:bCs/>
          <w:szCs w:val="22"/>
        </w:rPr>
        <w:t xml:space="preserve">1’x4’, 2’x4’ or 2’x2’ </w:t>
      </w:r>
      <w:r w:rsidR="00BD5DEC">
        <w:rPr>
          <w:bCs/>
          <w:szCs w:val="22"/>
        </w:rPr>
        <w:t>panel</w:t>
      </w:r>
      <w:r w:rsidR="00430F5B" w:rsidRPr="008D1722">
        <w:rPr>
          <w:bCs/>
          <w:szCs w:val="22"/>
        </w:rPr>
        <w:t xml:space="preserve"> sizes.</w:t>
      </w:r>
    </w:p>
    <w:p w:rsidR="003C4BA9" w:rsidRPr="008D1722" w:rsidRDefault="003C4BA9" w:rsidP="002E256D">
      <w:pPr>
        <w:rPr>
          <w:rFonts w:cs="Arial"/>
          <w:szCs w:val="22"/>
        </w:rPr>
      </w:pPr>
    </w:p>
    <w:p w:rsidR="002E256D" w:rsidRPr="008D1722" w:rsidRDefault="00BD5DEC" w:rsidP="00A76B2E">
      <w:pPr>
        <w:rPr>
          <w:szCs w:val="22"/>
        </w:rPr>
      </w:pPr>
      <w:r>
        <w:rPr>
          <w:szCs w:val="22"/>
        </w:rPr>
        <w:t xml:space="preserve">The LED Panel workpaper may reference </w:t>
      </w:r>
      <w:r w:rsidR="00430F5B" w:rsidRPr="008D1722">
        <w:rPr>
          <w:szCs w:val="22"/>
        </w:rPr>
        <w:t>DEER EUL/RUL values and DEER NTGR values.</w:t>
      </w:r>
    </w:p>
    <w:p w:rsidR="00533BD0" w:rsidRDefault="00AD2324" w:rsidP="00B845D5">
      <w:pPr>
        <w:pStyle w:val="Heading1"/>
        <w:numPr>
          <w:ilvl w:val="0"/>
          <w:numId w:val="24"/>
        </w:numPr>
        <w:ind w:left="360"/>
      </w:pPr>
      <w:r>
        <w:t xml:space="preserve">Proposed Measure Parameter </w:t>
      </w:r>
      <w:r w:rsidR="00BB22C2">
        <w:t xml:space="preserve">Data </w:t>
      </w:r>
      <w:r w:rsidR="009F2336">
        <w:t xml:space="preserve">and </w:t>
      </w:r>
      <w:r>
        <w:t>Sources</w:t>
      </w:r>
    </w:p>
    <w:p w:rsidR="00C636BA" w:rsidRDefault="00C636BA" w:rsidP="00C636BA">
      <w:pPr>
        <w:spacing w:after="60"/>
        <w:rPr>
          <w:b/>
        </w:rPr>
      </w:pPr>
    </w:p>
    <w:p w:rsidR="00C636BA" w:rsidRDefault="00C636BA" w:rsidP="00C636BA">
      <w:pPr>
        <w:spacing w:after="60"/>
      </w:pPr>
      <w:r>
        <w:rPr>
          <w:b/>
        </w:rPr>
        <w:t>Table 3</w:t>
      </w:r>
      <w:r w:rsidRPr="00C636BA">
        <w:rPr>
          <w:b/>
        </w:rPr>
        <w:t>.</w:t>
      </w:r>
      <w:r w:rsidR="00096BDF">
        <w:rPr>
          <w:b/>
        </w:rPr>
        <w:t xml:space="preserve"> </w:t>
      </w:r>
      <w:r w:rsidR="00096BDF">
        <w:t>Proposed</w:t>
      </w:r>
      <w:r>
        <w:t xml:space="preserve"> Measure Parameter Data and Sources</w:t>
      </w:r>
    </w:p>
    <w:tbl>
      <w:tblPr>
        <w:tblStyle w:val="TableGrid"/>
        <w:tblW w:w="8970"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6" w:space="0" w:color="548DD4" w:themeColor="text2" w:themeTint="99"/>
          <w:insideV w:val="single" w:sz="6" w:space="0" w:color="548DD4" w:themeColor="text2" w:themeTint="99"/>
        </w:tblBorders>
        <w:tblLook w:val="04A0"/>
      </w:tblPr>
      <w:tblGrid>
        <w:gridCol w:w="1209"/>
        <w:gridCol w:w="3645"/>
        <w:gridCol w:w="1990"/>
        <w:gridCol w:w="1411"/>
        <w:gridCol w:w="1321"/>
      </w:tblGrid>
      <w:tr w:rsidR="00BB22C2" w:rsidRPr="00C636BA">
        <w:tc>
          <w:tcPr>
            <w:tcW w:w="1445" w:type="dxa"/>
            <w:shd w:val="clear" w:color="auto" w:fill="DAEEF3" w:themeFill="accent5" w:themeFillTint="33"/>
            <w:vAlign w:val="center"/>
          </w:tcPr>
          <w:p w:rsidR="00BB22C2" w:rsidRPr="00C636BA" w:rsidRDefault="00BB22C2" w:rsidP="00C636BA">
            <w:pPr>
              <w:jc w:val="center"/>
              <w:rPr>
                <w:b/>
              </w:rPr>
            </w:pPr>
            <w:r w:rsidRPr="00C636BA">
              <w:rPr>
                <w:b/>
              </w:rPr>
              <w:t>Measure Parameter</w:t>
            </w:r>
          </w:p>
        </w:tc>
        <w:tc>
          <w:tcPr>
            <w:tcW w:w="1746" w:type="dxa"/>
            <w:shd w:val="clear" w:color="auto" w:fill="DAEEF3" w:themeFill="accent5" w:themeFillTint="33"/>
            <w:vAlign w:val="center"/>
          </w:tcPr>
          <w:p w:rsidR="00BB22C2" w:rsidRPr="00C636BA" w:rsidRDefault="00BB22C2" w:rsidP="00C636BA">
            <w:pPr>
              <w:jc w:val="center"/>
              <w:rPr>
                <w:b/>
              </w:rPr>
            </w:pPr>
            <w:r w:rsidRPr="00C636BA">
              <w:rPr>
                <w:b/>
              </w:rPr>
              <w:t xml:space="preserve">Data </w:t>
            </w:r>
          </w:p>
        </w:tc>
        <w:tc>
          <w:tcPr>
            <w:tcW w:w="2139" w:type="dxa"/>
            <w:shd w:val="clear" w:color="auto" w:fill="DAEEF3" w:themeFill="accent5" w:themeFillTint="33"/>
            <w:vAlign w:val="center"/>
          </w:tcPr>
          <w:p w:rsidR="00BB22C2" w:rsidRPr="00C636BA" w:rsidRDefault="00BB22C2" w:rsidP="00C636BA">
            <w:pPr>
              <w:jc w:val="center"/>
              <w:rPr>
                <w:b/>
              </w:rPr>
            </w:pPr>
            <w:r w:rsidRPr="00C636BA">
              <w:rPr>
                <w:b/>
              </w:rPr>
              <w:t>Source Description</w:t>
            </w:r>
            <w:r w:rsidRPr="00C636BA">
              <w:rPr>
                <w:b/>
                <w:vertAlign w:val="superscript"/>
              </w:rPr>
              <w:footnoteReference w:id="1"/>
            </w:r>
          </w:p>
        </w:tc>
        <w:tc>
          <w:tcPr>
            <w:tcW w:w="1895" w:type="dxa"/>
            <w:shd w:val="clear" w:color="auto" w:fill="DAEEF3" w:themeFill="accent5" w:themeFillTint="33"/>
            <w:vAlign w:val="center"/>
          </w:tcPr>
          <w:p w:rsidR="00BB22C2" w:rsidRPr="00C636BA" w:rsidRDefault="00BB22C2" w:rsidP="00C636BA">
            <w:pPr>
              <w:jc w:val="center"/>
              <w:rPr>
                <w:b/>
              </w:rPr>
            </w:pPr>
            <w:r w:rsidRPr="00C636BA">
              <w:rPr>
                <w:b/>
              </w:rPr>
              <w:t>Modification of DEER or reason for not using DEER</w:t>
            </w:r>
          </w:p>
        </w:tc>
        <w:tc>
          <w:tcPr>
            <w:tcW w:w="1745" w:type="dxa"/>
            <w:shd w:val="clear" w:color="auto" w:fill="DAEEF3" w:themeFill="accent5" w:themeFillTint="33"/>
            <w:vAlign w:val="center"/>
          </w:tcPr>
          <w:p w:rsidR="00BB22C2" w:rsidRPr="00C636BA" w:rsidRDefault="00BB22C2" w:rsidP="00C636BA">
            <w:pPr>
              <w:jc w:val="center"/>
              <w:rPr>
                <w:b/>
              </w:rPr>
            </w:pPr>
            <w:r w:rsidRPr="00C636BA">
              <w:rPr>
                <w:b/>
              </w:rPr>
              <w:t xml:space="preserve">Confidence Level </w:t>
            </w:r>
          </w:p>
          <w:p w:rsidR="00BB22C2" w:rsidRPr="00C636BA" w:rsidRDefault="00BB22C2" w:rsidP="00C636BA">
            <w:pPr>
              <w:jc w:val="center"/>
              <w:rPr>
                <w:b/>
              </w:rPr>
            </w:pPr>
            <w:r w:rsidRPr="00C636BA">
              <w:rPr>
                <w:b/>
              </w:rPr>
              <w:t>(High, Medium, Low)</w:t>
            </w:r>
          </w:p>
        </w:tc>
      </w:tr>
      <w:tr w:rsidR="00BB22C2" w:rsidRPr="00D767BD">
        <w:tc>
          <w:tcPr>
            <w:tcW w:w="1445" w:type="dxa"/>
            <w:shd w:val="clear" w:color="auto" w:fill="FFFFFF" w:themeFill="background1"/>
            <w:vAlign w:val="center"/>
          </w:tcPr>
          <w:p w:rsidR="00BB22C2" w:rsidRPr="00D767BD" w:rsidRDefault="00BB22C2" w:rsidP="00C636BA">
            <w:pPr>
              <w:jc w:val="center"/>
            </w:pPr>
            <w:r w:rsidRPr="00D767BD">
              <w:t>Savings – kWh</w:t>
            </w:r>
          </w:p>
        </w:tc>
        <w:tc>
          <w:tcPr>
            <w:tcW w:w="1746" w:type="dxa"/>
            <w:shd w:val="clear" w:color="auto" w:fill="FFFFFF" w:themeFill="background1"/>
          </w:tcPr>
          <w:p w:rsidR="00BB22C2" w:rsidRPr="00D767BD" w:rsidRDefault="00A61D06" w:rsidP="00C636BA">
            <w:pPr>
              <w:jc w:val="center"/>
            </w:pPr>
            <w:hyperlink r:id="rId18" w:history="1">
              <w:r w:rsidR="00D734F3" w:rsidRPr="00EA5F97">
                <w:rPr>
                  <w:rStyle w:val="Hyperlink"/>
                </w:rPr>
                <w:t>http://designlights.org/resources/file/n-e-e-p-d-l-c-q-p-l-24-xlsx</w:t>
              </w:r>
            </w:hyperlink>
            <w:r w:rsidR="00D734F3">
              <w:t xml:space="preserve"> </w:t>
            </w:r>
          </w:p>
        </w:tc>
        <w:tc>
          <w:tcPr>
            <w:tcW w:w="2139" w:type="dxa"/>
            <w:shd w:val="clear" w:color="auto" w:fill="FFFFFF" w:themeFill="background1"/>
            <w:vAlign w:val="center"/>
          </w:tcPr>
          <w:p w:rsidR="00E40C1F" w:rsidRPr="00D767BD" w:rsidRDefault="00A61D06" w:rsidP="00E40C1F">
            <w:pPr>
              <w:jc w:val="center"/>
            </w:pPr>
            <w:hyperlink r:id="rId19" w:history="1">
              <w:r w:rsidR="00E40C1F" w:rsidRPr="00E40C1F">
                <w:rPr>
                  <w:rStyle w:val="Hyperlink"/>
                </w:rPr>
                <w:t>DesignLights Consortium</w:t>
              </w:r>
            </w:hyperlink>
            <w:r w:rsidR="00E40C1F">
              <w:t xml:space="preserve"> and </w:t>
            </w:r>
            <w:hyperlink r:id="rId20" w:history="1">
              <w:r w:rsidR="00E40C1F" w:rsidRPr="00E40C1F">
                <w:rPr>
                  <w:rStyle w:val="Hyperlink"/>
                </w:rPr>
                <w:t>Title 24 LPDs</w:t>
              </w:r>
            </w:hyperlink>
          </w:p>
        </w:tc>
        <w:tc>
          <w:tcPr>
            <w:tcW w:w="1895" w:type="dxa"/>
            <w:shd w:val="clear" w:color="auto" w:fill="FFFFFF" w:themeFill="background1"/>
            <w:vAlign w:val="center"/>
          </w:tcPr>
          <w:p w:rsidR="00BB22C2" w:rsidRPr="00D767BD" w:rsidRDefault="00E40C1F" w:rsidP="00C636BA">
            <w:pPr>
              <w:jc w:val="center"/>
            </w:pPr>
            <w:r>
              <w:t>No applicable DEER measure</w:t>
            </w:r>
          </w:p>
        </w:tc>
        <w:tc>
          <w:tcPr>
            <w:tcW w:w="1745" w:type="dxa"/>
            <w:shd w:val="clear" w:color="auto" w:fill="FFFFFF" w:themeFill="background1"/>
          </w:tcPr>
          <w:p w:rsidR="00BB22C2" w:rsidRPr="00D767BD" w:rsidRDefault="00E40C1F" w:rsidP="00C636BA">
            <w:pPr>
              <w:jc w:val="center"/>
            </w:pPr>
            <w:r>
              <w:t>Medium</w:t>
            </w:r>
          </w:p>
        </w:tc>
      </w:tr>
      <w:tr w:rsidR="00BB22C2" w:rsidRPr="00D767BD">
        <w:tc>
          <w:tcPr>
            <w:tcW w:w="1445" w:type="dxa"/>
            <w:shd w:val="clear" w:color="auto" w:fill="DAEEF3" w:themeFill="accent5" w:themeFillTint="33"/>
            <w:vAlign w:val="center"/>
          </w:tcPr>
          <w:p w:rsidR="00BB22C2" w:rsidRPr="00D767BD" w:rsidRDefault="00BB22C2" w:rsidP="00C636BA">
            <w:pPr>
              <w:jc w:val="center"/>
            </w:pPr>
            <w:r w:rsidRPr="00D767BD">
              <w:t>Savings – kW</w:t>
            </w:r>
          </w:p>
        </w:tc>
        <w:tc>
          <w:tcPr>
            <w:tcW w:w="1746" w:type="dxa"/>
            <w:shd w:val="clear" w:color="auto" w:fill="DAEEF3" w:themeFill="accent5" w:themeFillTint="33"/>
          </w:tcPr>
          <w:p w:rsidR="00BB22C2" w:rsidRPr="00D767BD" w:rsidRDefault="00E40C1F" w:rsidP="00C636BA">
            <w:pPr>
              <w:jc w:val="center"/>
            </w:pPr>
            <w:r>
              <w:t>See above</w:t>
            </w:r>
          </w:p>
        </w:tc>
        <w:tc>
          <w:tcPr>
            <w:tcW w:w="2139" w:type="dxa"/>
            <w:shd w:val="clear" w:color="auto" w:fill="DAEEF3" w:themeFill="accent5" w:themeFillTint="33"/>
            <w:vAlign w:val="center"/>
          </w:tcPr>
          <w:p w:rsidR="00BB22C2" w:rsidRPr="00D767BD" w:rsidRDefault="00E40C1F" w:rsidP="00C636BA">
            <w:pPr>
              <w:jc w:val="center"/>
            </w:pPr>
            <w:r>
              <w:t>See above</w:t>
            </w:r>
          </w:p>
        </w:tc>
        <w:tc>
          <w:tcPr>
            <w:tcW w:w="1895" w:type="dxa"/>
            <w:shd w:val="clear" w:color="auto" w:fill="DAEEF3" w:themeFill="accent5" w:themeFillTint="33"/>
            <w:vAlign w:val="center"/>
          </w:tcPr>
          <w:p w:rsidR="00BB22C2" w:rsidRPr="00D767BD" w:rsidRDefault="00E40C1F" w:rsidP="00C636BA">
            <w:pPr>
              <w:jc w:val="center"/>
            </w:pPr>
            <w:r>
              <w:t>See above</w:t>
            </w:r>
          </w:p>
        </w:tc>
        <w:tc>
          <w:tcPr>
            <w:tcW w:w="1745" w:type="dxa"/>
            <w:shd w:val="clear" w:color="auto" w:fill="DAEEF3" w:themeFill="accent5" w:themeFillTint="33"/>
          </w:tcPr>
          <w:p w:rsidR="00BB22C2" w:rsidRPr="00D767BD" w:rsidRDefault="00E40C1F" w:rsidP="00C636BA">
            <w:pPr>
              <w:jc w:val="center"/>
            </w:pPr>
            <w:r>
              <w:t>Medium</w:t>
            </w:r>
          </w:p>
        </w:tc>
      </w:tr>
      <w:tr w:rsidR="00BB22C2" w:rsidRPr="00AD2324">
        <w:tc>
          <w:tcPr>
            <w:tcW w:w="1445" w:type="dxa"/>
            <w:shd w:val="clear" w:color="auto" w:fill="FFFFFF" w:themeFill="background1"/>
            <w:vAlign w:val="center"/>
          </w:tcPr>
          <w:p w:rsidR="00BB22C2" w:rsidRPr="00AD2324" w:rsidRDefault="00BB22C2" w:rsidP="00C636BA">
            <w:pPr>
              <w:jc w:val="center"/>
              <w:rPr>
                <w:sz w:val="20"/>
                <w:szCs w:val="20"/>
              </w:rPr>
            </w:pPr>
            <w:r w:rsidRPr="00AD2324">
              <w:rPr>
                <w:sz w:val="20"/>
                <w:szCs w:val="20"/>
              </w:rPr>
              <w:t>Savings – therm</w:t>
            </w:r>
          </w:p>
        </w:tc>
        <w:tc>
          <w:tcPr>
            <w:tcW w:w="1746" w:type="dxa"/>
            <w:shd w:val="clear" w:color="auto" w:fill="FFFFFF" w:themeFill="background1"/>
          </w:tcPr>
          <w:p w:rsidR="00BB22C2" w:rsidRPr="00AD2324" w:rsidRDefault="009E5CEF" w:rsidP="00C636BA">
            <w:pPr>
              <w:jc w:val="center"/>
              <w:rPr>
                <w:sz w:val="20"/>
                <w:szCs w:val="20"/>
              </w:rPr>
            </w:pPr>
            <w:r w:rsidRPr="009E5CEF">
              <w:rPr>
                <w:sz w:val="20"/>
                <w:szCs w:val="20"/>
              </w:rPr>
              <w:t>Lighting-5-17-12-WP_Template_v01</w:t>
            </w:r>
            <w:r>
              <w:rPr>
                <w:sz w:val="20"/>
                <w:szCs w:val="20"/>
              </w:rPr>
              <w:t>.xlsx</w:t>
            </w:r>
          </w:p>
        </w:tc>
        <w:tc>
          <w:tcPr>
            <w:tcW w:w="2139" w:type="dxa"/>
            <w:shd w:val="clear" w:color="auto" w:fill="FFFFFF" w:themeFill="background1"/>
            <w:vAlign w:val="center"/>
          </w:tcPr>
          <w:p w:rsidR="00BB22C2" w:rsidRPr="00AD2324" w:rsidRDefault="00BD5DEC" w:rsidP="00E40C1F">
            <w:pPr>
              <w:jc w:val="center"/>
              <w:rPr>
                <w:sz w:val="20"/>
                <w:szCs w:val="20"/>
              </w:rPr>
            </w:pPr>
            <w:r>
              <w:rPr>
                <w:sz w:val="20"/>
                <w:szCs w:val="20"/>
              </w:rPr>
              <w:t xml:space="preserve">ED </w:t>
            </w:r>
            <w:r w:rsidR="00DD4802">
              <w:rPr>
                <w:sz w:val="20"/>
                <w:szCs w:val="20"/>
              </w:rPr>
              <w:t xml:space="preserve">Lighting </w:t>
            </w:r>
            <w:r>
              <w:rPr>
                <w:sz w:val="20"/>
                <w:szCs w:val="20"/>
              </w:rPr>
              <w:t>I</w:t>
            </w:r>
            <w:r w:rsidR="00DD4802">
              <w:rPr>
                <w:sz w:val="20"/>
                <w:szCs w:val="20"/>
              </w:rPr>
              <w:t>nteractive Effects</w:t>
            </w:r>
          </w:p>
        </w:tc>
        <w:tc>
          <w:tcPr>
            <w:tcW w:w="1895" w:type="dxa"/>
            <w:shd w:val="clear" w:color="auto" w:fill="FFFFFF" w:themeFill="background1"/>
            <w:vAlign w:val="center"/>
          </w:tcPr>
          <w:p w:rsidR="00BB22C2" w:rsidRPr="00AD2324" w:rsidRDefault="00BB22C2" w:rsidP="00C636BA">
            <w:pPr>
              <w:jc w:val="center"/>
              <w:rPr>
                <w:sz w:val="20"/>
                <w:szCs w:val="20"/>
              </w:rPr>
            </w:pPr>
          </w:p>
        </w:tc>
        <w:tc>
          <w:tcPr>
            <w:tcW w:w="1745" w:type="dxa"/>
            <w:shd w:val="clear" w:color="auto" w:fill="FFFFFF" w:themeFill="background1"/>
          </w:tcPr>
          <w:p w:rsidR="00BB22C2" w:rsidRPr="00AD2324" w:rsidRDefault="00E40C1F" w:rsidP="00C636BA">
            <w:pPr>
              <w:jc w:val="center"/>
              <w:rPr>
                <w:sz w:val="20"/>
                <w:szCs w:val="20"/>
              </w:rPr>
            </w:pPr>
            <w:r>
              <w:rPr>
                <w:sz w:val="20"/>
                <w:szCs w:val="20"/>
              </w:rPr>
              <w:t>High</w:t>
            </w:r>
          </w:p>
        </w:tc>
      </w:tr>
      <w:tr w:rsidR="00BB22C2" w:rsidRPr="00AD2324">
        <w:tc>
          <w:tcPr>
            <w:tcW w:w="1445" w:type="dxa"/>
            <w:shd w:val="clear" w:color="auto" w:fill="DAEEF3" w:themeFill="accent5" w:themeFillTint="33"/>
            <w:vAlign w:val="center"/>
          </w:tcPr>
          <w:p w:rsidR="00BB22C2" w:rsidRPr="00AD2324" w:rsidRDefault="00BB22C2" w:rsidP="00C636BA">
            <w:pPr>
              <w:jc w:val="center"/>
              <w:rPr>
                <w:sz w:val="20"/>
                <w:szCs w:val="20"/>
              </w:rPr>
            </w:pPr>
            <w:r w:rsidRPr="00AD2324">
              <w:rPr>
                <w:sz w:val="20"/>
                <w:szCs w:val="20"/>
              </w:rPr>
              <w:t>EUL or RUL</w:t>
            </w:r>
          </w:p>
        </w:tc>
        <w:tc>
          <w:tcPr>
            <w:tcW w:w="1746" w:type="dxa"/>
            <w:shd w:val="clear" w:color="auto" w:fill="DAEEF3" w:themeFill="accent5" w:themeFillTint="33"/>
          </w:tcPr>
          <w:p w:rsidR="00BB22C2" w:rsidRPr="00AD2324" w:rsidRDefault="008D1722" w:rsidP="00C636BA">
            <w:pPr>
              <w:jc w:val="center"/>
              <w:rPr>
                <w:sz w:val="20"/>
                <w:szCs w:val="20"/>
              </w:rPr>
            </w:pPr>
            <w:r>
              <w:rPr>
                <w:sz w:val="20"/>
                <w:szCs w:val="20"/>
              </w:rPr>
              <w:t xml:space="preserve">DLC-minimum 50,000 hours </w:t>
            </w:r>
            <w:r>
              <w:rPr>
                <w:rFonts w:cs="Arial"/>
                <w:sz w:val="20"/>
                <w:szCs w:val="20"/>
              </w:rPr>
              <w:t>÷</w:t>
            </w:r>
            <w:r>
              <w:rPr>
                <w:sz w:val="20"/>
                <w:szCs w:val="20"/>
              </w:rPr>
              <w:t xml:space="preserve"> </w:t>
            </w:r>
            <w:r w:rsidR="00E40C1F">
              <w:rPr>
                <w:sz w:val="20"/>
                <w:szCs w:val="20"/>
              </w:rPr>
              <w:t xml:space="preserve">DEER </w:t>
            </w:r>
            <w:r>
              <w:rPr>
                <w:sz w:val="20"/>
                <w:szCs w:val="20"/>
              </w:rPr>
              <w:t>HOU</w:t>
            </w:r>
          </w:p>
        </w:tc>
        <w:tc>
          <w:tcPr>
            <w:tcW w:w="2139" w:type="dxa"/>
            <w:shd w:val="clear" w:color="auto" w:fill="DAEEF3" w:themeFill="accent5" w:themeFillTint="33"/>
            <w:vAlign w:val="center"/>
          </w:tcPr>
          <w:p w:rsidR="00BB22C2" w:rsidRPr="00AD2324" w:rsidRDefault="00A61D06" w:rsidP="00C636BA">
            <w:pPr>
              <w:jc w:val="center"/>
              <w:rPr>
                <w:sz w:val="20"/>
                <w:szCs w:val="20"/>
              </w:rPr>
            </w:pPr>
            <w:hyperlink r:id="rId21" w:history="1">
              <w:r w:rsidR="008D1722" w:rsidRPr="00EA5F97">
                <w:rPr>
                  <w:rStyle w:val="Hyperlink"/>
                  <w:sz w:val="20"/>
                  <w:szCs w:val="20"/>
                </w:rPr>
                <w:t>www.Designlights.org</w:t>
              </w:r>
            </w:hyperlink>
            <w:r w:rsidR="008D1722">
              <w:rPr>
                <w:sz w:val="20"/>
                <w:szCs w:val="20"/>
              </w:rPr>
              <w:t xml:space="preserve"> and DEER</w:t>
            </w:r>
          </w:p>
        </w:tc>
        <w:tc>
          <w:tcPr>
            <w:tcW w:w="1895" w:type="dxa"/>
            <w:shd w:val="clear" w:color="auto" w:fill="DAEEF3" w:themeFill="accent5" w:themeFillTint="33"/>
            <w:vAlign w:val="center"/>
          </w:tcPr>
          <w:p w:rsidR="00BB22C2" w:rsidRPr="00AD2324" w:rsidRDefault="00E40C1F" w:rsidP="00C636BA">
            <w:pPr>
              <w:jc w:val="center"/>
              <w:rPr>
                <w:sz w:val="20"/>
                <w:szCs w:val="20"/>
              </w:rPr>
            </w:pPr>
            <w:r>
              <w:rPr>
                <w:sz w:val="20"/>
                <w:szCs w:val="20"/>
              </w:rPr>
              <w:t>No modification</w:t>
            </w:r>
          </w:p>
        </w:tc>
        <w:tc>
          <w:tcPr>
            <w:tcW w:w="1745" w:type="dxa"/>
            <w:shd w:val="clear" w:color="auto" w:fill="DAEEF3" w:themeFill="accent5" w:themeFillTint="33"/>
          </w:tcPr>
          <w:p w:rsidR="00BB22C2" w:rsidRPr="00AD2324" w:rsidRDefault="00DD4802" w:rsidP="00C636BA">
            <w:pPr>
              <w:jc w:val="center"/>
              <w:rPr>
                <w:sz w:val="20"/>
                <w:szCs w:val="20"/>
              </w:rPr>
            </w:pPr>
            <w:r>
              <w:rPr>
                <w:sz w:val="20"/>
                <w:szCs w:val="20"/>
              </w:rPr>
              <w:t>High</w:t>
            </w:r>
          </w:p>
        </w:tc>
      </w:tr>
      <w:tr w:rsidR="00BB22C2" w:rsidRPr="00AD2324">
        <w:tc>
          <w:tcPr>
            <w:tcW w:w="1445" w:type="dxa"/>
            <w:shd w:val="clear" w:color="auto" w:fill="FFFFFF" w:themeFill="background1"/>
            <w:vAlign w:val="center"/>
          </w:tcPr>
          <w:p w:rsidR="00BB22C2" w:rsidRPr="00AD2324" w:rsidRDefault="00BB22C2" w:rsidP="00C636BA">
            <w:pPr>
              <w:jc w:val="center"/>
              <w:rPr>
                <w:sz w:val="20"/>
                <w:szCs w:val="20"/>
              </w:rPr>
            </w:pPr>
            <w:r w:rsidRPr="00AD2324">
              <w:rPr>
                <w:sz w:val="20"/>
                <w:szCs w:val="20"/>
              </w:rPr>
              <w:t>MC or IMC</w:t>
            </w:r>
          </w:p>
        </w:tc>
        <w:tc>
          <w:tcPr>
            <w:tcW w:w="1746" w:type="dxa"/>
            <w:shd w:val="clear" w:color="auto" w:fill="FFFFFF" w:themeFill="background1"/>
          </w:tcPr>
          <w:p w:rsidR="00BB22C2" w:rsidRPr="00AD2324" w:rsidRDefault="00DD4802" w:rsidP="00C636BA">
            <w:pPr>
              <w:jc w:val="center"/>
              <w:rPr>
                <w:sz w:val="20"/>
                <w:szCs w:val="20"/>
              </w:rPr>
            </w:pPr>
            <w:r>
              <w:rPr>
                <w:sz w:val="20"/>
                <w:szCs w:val="20"/>
              </w:rPr>
              <w:t>Fixture Pricing</w:t>
            </w:r>
          </w:p>
        </w:tc>
        <w:tc>
          <w:tcPr>
            <w:tcW w:w="2139" w:type="dxa"/>
            <w:shd w:val="clear" w:color="auto" w:fill="FFFFFF" w:themeFill="background1"/>
            <w:vAlign w:val="center"/>
          </w:tcPr>
          <w:p w:rsidR="00BB22C2" w:rsidRPr="00AD2324" w:rsidRDefault="00DD4802" w:rsidP="00C636BA">
            <w:pPr>
              <w:jc w:val="center"/>
              <w:rPr>
                <w:sz w:val="20"/>
                <w:szCs w:val="20"/>
              </w:rPr>
            </w:pPr>
            <w:r>
              <w:rPr>
                <w:sz w:val="20"/>
                <w:szCs w:val="20"/>
              </w:rPr>
              <w:t>Survey to be conducted of lighting distributors and manufacturers’ agents</w:t>
            </w:r>
          </w:p>
        </w:tc>
        <w:tc>
          <w:tcPr>
            <w:tcW w:w="1895" w:type="dxa"/>
            <w:shd w:val="clear" w:color="auto" w:fill="FFFFFF" w:themeFill="background1"/>
            <w:vAlign w:val="center"/>
          </w:tcPr>
          <w:p w:rsidR="00BB22C2" w:rsidRPr="00AD2324" w:rsidRDefault="00E40C1F" w:rsidP="00C636BA">
            <w:pPr>
              <w:jc w:val="center"/>
              <w:rPr>
                <w:sz w:val="20"/>
                <w:szCs w:val="20"/>
              </w:rPr>
            </w:pPr>
            <w:r>
              <w:t>No applicable DEER measure</w:t>
            </w:r>
          </w:p>
        </w:tc>
        <w:tc>
          <w:tcPr>
            <w:tcW w:w="1745" w:type="dxa"/>
            <w:shd w:val="clear" w:color="auto" w:fill="FFFFFF" w:themeFill="background1"/>
          </w:tcPr>
          <w:p w:rsidR="00BB22C2" w:rsidRPr="00AD2324" w:rsidRDefault="00DD4802" w:rsidP="00C636BA">
            <w:pPr>
              <w:jc w:val="center"/>
              <w:rPr>
                <w:sz w:val="20"/>
                <w:szCs w:val="20"/>
              </w:rPr>
            </w:pPr>
            <w:r>
              <w:rPr>
                <w:sz w:val="20"/>
                <w:szCs w:val="20"/>
              </w:rPr>
              <w:t>High</w:t>
            </w:r>
          </w:p>
        </w:tc>
      </w:tr>
      <w:tr w:rsidR="00BB22C2" w:rsidRPr="00AD2324">
        <w:tc>
          <w:tcPr>
            <w:tcW w:w="1445" w:type="dxa"/>
            <w:shd w:val="clear" w:color="auto" w:fill="DAEEF3" w:themeFill="accent5" w:themeFillTint="33"/>
            <w:vAlign w:val="center"/>
          </w:tcPr>
          <w:p w:rsidR="00BB22C2" w:rsidRPr="00AD2324" w:rsidRDefault="00BB22C2" w:rsidP="00C636BA">
            <w:pPr>
              <w:jc w:val="center"/>
              <w:rPr>
                <w:sz w:val="20"/>
                <w:szCs w:val="20"/>
              </w:rPr>
            </w:pPr>
            <w:r w:rsidRPr="00AD2324">
              <w:rPr>
                <w:sz w:val="20"/>
                <w:szCs w:val="20"/>
              </w:rPr>
              <w:t>NTG</w:t>
            </w:r>
          </w:p>
        </w:tc>
        <w:tc>
          <w:tcPr>
            <w:tcW w:w="1746" w:type="dxa"/>
            <w:shd w:val="clear" w:color="auto" w:fill="DAEEF3" w:themeFill="accent5" w:themeFillTint="33"/>
          </w:tcPr>
          <w:p w:rsidR="00BB22C2" w:rsidRPr="00AD2324" w:rsidRDefault="009E5CEF" w:rsidP="00C636BA">
            <w:pPr>
              <w:jc w:val="center"/>
              <w:rPr>
                <w:sz w:val="20"/>
                <w:szCs w:val="20"/>
              </w:rPr>
            </w:pPr>
            <w:r w:rsidRPr="009E5CEF">
              <w:rPr>
                <w:sz w:val="20"/>
                <w:szCs w:val="20"/>
              </w:rPr>
              <w:t>DEER1314_SupportTable_NTG</w:t>
            </w:r>
            <w:r>
              <w:rPr>
                <w:sz w:val="20"/>
                <w:szCs w:val="20"/>
              </w:rPr>
              <w:t>.csv</w:t>
            </w:r>
          </w:p>
        </w:tc>
        <w:tc>
          <w:tcPr>
            <w:tcW w:w="2139" w:type="dxa"/>
            <w:shd w:val="clear" w:color="auto" w:fill="DAEEF3" w:themeFill="accent5" w:themeFillTint="33"/>
            <w:vAlign w:val="center"/>
          </w:tcPr>
          <w:p w:rsidR="00BB22C2" w:rsidRPr="00AD2324" w:rsidRDefault="00DD4802" w:rsidP="00C636BA">
            <w:pPr>
              <w:jc w:val="center"/>
              <w:rPr>
                <w:sz w:val="20"/>
                <w:szCs w:val="20"/>
              </w:rPr>
            </w:pPr>
            <w:r>
              <w:rPr>
                <w:sz w:val="20"/>
                <w:szCs w:val="20"/>
              </w:rPr>
              <w:t>DEER</w:t>
            </w:r>
          </w:p>
        </w:tc>
        <w:tc>
          <w:tcPr>
            <w:tcW w:w="1895" w:type="dxa"/>
            <w:shd w:val="clear" w:color="auto" w:fill="DAEEF3" w:themeFill="accent5" w:themeFillTint="33"/>
            <w:vAlign w:val="center"/>
          </w:tcPr>
          <w:p w:rsidR="00BB22C2" w:rsidRPr="00AD2324" w:rsidRDefault="00E40C1F" w:rsidP="00E40C1F">
            <w:pPr>
              <w:jc w:val="center"/>
              <w:rPr>
                <w:sz w:val="20"/>
                <w:szCs w:val="20"/>
              </w:rPr>
            </w:pPr>
            <w:r>
              <w:t>No modification</w:t>
            </w:r>
          </w:p>
        </w:tc>
        <w:tc>
          <w:tcPr>
            <w:tcW w:w="1745" w:type="dxa"/>
            <w:shd w:val="clear" w:color="auto" w:fill="DAEEF3" w:themeFill="accent5" w:themeFillTint="33"/>
          </w:tcPr>
          <w:p w:rsidR="00BB22C2" w:rsidRPr="00AD2324" w:rsidRDefault="00E40C1F" w:rsidP="00C636BA">
            <w:pPr>
              <w:jc w:val="center"/>
              <w:rPr>
                <w:sz w:val="20"/>
                <w:szCs w:val="20"/>
              </w:rPr>
            </w:pPr>
            <w:r>
              <w:rPr>
                <w:sz w:val="20"/>
                <w:szCs w:val="20"/>
              </w:rPr>
              <w:t>High</w:t>
            </w:r>
          </w:p>
        </w:tc>
      </w:tr>
    </w:tbl>
    <w:p w:rsidR="00533BD0" w:rsidRDefault="00533BD0" w:rsidP="00B845D5"/>
    <w:p w:rsidR="00C636BA" w:rsidRDefault="00C636BA" w:rsidP="00C636BA">
      <w:pPr>
        <w:pStyle w:val="Heading1"/>
        <w:numPr>
          <w:ilvl w:val="0"/>
          <w:numId w:val="24"/>
        </w:numPr>
        <w:ind w:left="360" w:hanging="270"/>
      </w:pPr>
      <w:r>
        <w:t>Commission Staff Review and Feedback</w:t>
      </w:r>
    </w:p>
    <w:p w:rsidR="00096BDF" w:rsidRDefault="00096BDF" w:rsidP="00096BDF">
      <w:pPr>
        <w:spacing w:after="60"/>
        <w:rPr>
          <w:rFonts w:cs="Arial"/>
          <w:i/>
          <w:iCs/>
          <w:color w:val="FF0000"/>
          <w:szCs w:val="22"/>
        </w:rPr>
      </w:pPr>
      <w:r>
        <w:rPr>
          <w:rFonts w:cs="Arial"/>
          <w:i/>
          <w:iCs/>
          <w:color w:val="FF0000"/>
          <w:szCs w:val="22"/>
        </w:rPr>
        <w:t>Commission staff should provide feedback on proposed data and sources within 10 days of request.</w:t>
      </w:r>
    </w:p>
    <w:p w:rsidR="00096BDF" w:rsidRDefault="00096BDF" w:rsidP="00096BDF">
      <w:pPr>
        <w:spacing w:after="60"/>
        <w:rPr>
          <w:b/>
        </w:rPr>
      </w:pPr>
    </w:p>
    <w:p w:rsidR="00096BDF" w:rsidRDefault="00096BDF" w:rsidP="00096BDF">
      <w:pPr>
        <w:spacing w:after="60"/>
      </w:pPr>
      <w:r w:rsidRPr="00096BDF">
        <w:rPr>
          <w:b/>
        </w:rPr>
        <w:t xml:space="preserve">Table 3. </w:t>
      </w:r>
      <w:r>
        <w:t>Commission Staff Feedback on Proposed Data and Sources</w:t>
      </w:r>
    </w:p>
    <w:tbl>
      <w:tblPr>
        <w:tblStyle w:val="TableGrid"/>
        <w:tblW w:w="9350"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6" w:space="0" w:color="548DD4" w:themeColor="text2" w:themeTint="99"/>
          <w:insideV w:val="single" w:sz="6" w:space="0" w:color="548DD4" w:themeColor="text2" w:themeTint="99"/>
        </w:tblBorders>
        <w:tblLook w:val="04A0"/>
      </w:tblPr>
      <w:tblGrid>
        <w:gridCol w:w="1700"/>
        <w:gridCol w:w="1890"/>
        <w:gridCol w:w="2070"/>
        <w:gridCol w:w="3690"/>
      </w:tblGrid>
      <w:tr w:rsidR="00096BDF" w:rsidRPr="00C636BA">
        <w:tc>
          <w:tcPr>
            <w:tcW w:w="1700" w:type="dxa"/>
            <w:shd w:val="clear" w:color="auto" w:fill="DAEEF3" w:themeFill="accent5" w:themeFillTint="33"/>
            <w:vAlign w:val="center"/>
          </w:tcPr>
          <w:p w:rsidR="00096BDF" w:rsidRPr="00C636BA" w:rsidRDefault="00096BDF" w:rsidP="00096BDF">
            <w:pPr>
              <w:jc w:val="center"/>
              <w:rPr>
                <w:b/>
              </w:rPr>
            </w:pPr>
            <w:r w:rsidRPr="00C636BA">
              <w:rPr>
                <w:b/>
              </w:rPr>
              <w:t>Measure Parameter</w:t>
            </w:r>
          </w:p>
        </w:tc>
        <w:tc>
          <w:tcPr>
            <w:tcW w:w="1890" w:type="dxa"/>
            <w:shd w:val="clear" w:color="auto" w:fill="DAEEF3" w:themeFill="accent5" w:themeFillTint="33"/>
            <w:vAlign w:val="center"/>
          </w:tcPr>
          <w:p w:rsidR="00096BDF" w:rsidRPr="00C636BA" w:rsidRDefault="00096BDF" w:rsidP="00096BDF">
            <w:pPr>
              <w:jc w:val="center"/>
              <w:rPr>
                <w:b/>
              </w:rPr>
            </w:pPr>
            <w:r>
              <w:rPr>
                <w:b/>
              </w:rPr>
              <w:t>Date Sent to Staff</w:t>
            </w:r>
          </w:p>
        </w:tc>
        <w:tc>
          <w:tcPr>
            <w:tcW w:w="2070" w:type="dxa"/>
            <w:shd w:val="clear" w:color="auto" w:fill="DAEEF3" w:themeFill="accent5" w:themeFillTint="33"/>
            <w:vAlign w:val="center"/>
          </w:tcPr>
          <w:p w:rsidR="00096BDF" w:rsidRPr="00C636BA" w:rsidRDefault="00096BDF" w:rsidP="00096BDF">
            <w:pPr>
              <w:jc w:val="center"/>
              <w:rPr>
                <w:b/>
              </w:rPr>
            </w:pPr>
            <w:r>
              <w:rPr>
                <w:b/>
              </w:rPr>
              <w:t>Date Staff Responded</w:t>
            </w:r>
          </w:p>
        </w:tc>
        <w:tc>
          <w:tcPr>
            <w:tcW w:w="3690" w:type="dxa"/>
            <w:shd w:val="clear" w:color="auto" w:fill="DAEEF3" w:themeFill="accent5" w:themeFillTint="33"/>
            <w:vAlign w:val="center"/>
          </w:tcPr>
          <w:p w:rsidR="00096BDF" w:rsidRPr="00C636BA" w:rsidRDefault="00096BDF" w:rsidP="00096BDF">
            <w:pPr>
              <w:jc w:val="center"/>
              <w:rPr>
                <w:b/>
              </w:rPr>
            </w:pPr>
            <w:r>
              <w:rPr>
                <w:b/>
              </w:rPr>
              <w:t>Commission Staff Comment</w:t>
            </w:r>
          </w:p>
        </w:tc>
      </w:tr>
      <w:tr w:rsidR="00096BDF" w:rsidRPr="00D767BD">
        <w:tc>
          <w:tcPr>
            <w:tcW w:w="1700" w:type="dxa"/>
            <w:shd w:val="clear" w:color="auto" w:fill="FFFFFF" w:themeFill="background1"/>
            <w:vAlign w:val="center"/>
          </w:tcPr>
          <w:p w:rsidR="00096BDF" w:rsidRPr="00D767BD" w:rsidRDefault="00096BDF" w:rsidP="007C1463">
            <w:pPr>
              <w:jc w:val="center"/>
            </w:pPr>
            <w:r w:rsidRPr="00D767BD">
              <w:t>Savings – kWh</w:t>
            </w:r>
          </w:p>
        </w:tc>
        <w:tc>
          <w:tcPr>
            <w:tcW w:w="1890" w:type="dxa"/>
            <w:shd w:val="clear" w:color="auto" w:fill="FFFFFF" w:themeFill="background1"/>
          </w:tcPr>
          <w:p w:rsidR="00096BDF" w:rsidRPr="00D767BD" w:rsidRDefault="00096BDF" w:rsidP="007C1463">
            <w:pPr>
              <w:jc w:val="center"/>
            </w:pPr>
          </w:p>
        </w:tc>
        <w:tc>
          <w:tcPr>
            <w:tcW w:w="2070" w:type="dxa"/>
            <w:shd w:val="clear" w:color="auto" w:fill="FFFFFF" w:themeFill="background1"/>
            <w:vAlign w:val="center"/>
          </w:tcPr>
          <w:p w:rsidR="00096BDF" w:rsidRPr="00D767BD" w:rsidRDefault="00096BDF" w:rsidP="007C1463">
            <w:pPr>
              <w:jc w:val="center"/>
            </w:pPr>
          </w:p>
        </w:tc>
        <w:tc>
          <w:tcPr>
            <w:tcW w:w="3690" w:type="dxa"/>
            <w:shd w:val="clear" w:color="auto" w:fill="FFFFFF" w:themeFill="background1"/>
            <w:vAlign w:val="center"/>
          </w:tcPr>
          <w:p w:rsidR="00096BDF" w:rsidRPr="00D767BD" w:rsidRDefault="00096BDF" w:rsidP="007C1463">
            <w:pPr>
              <w:jc w:val="center"/>
            </w:pPr>
          </w:p>
        </w:tc>
      </w:tr>
      <w:tr w:rsidR="00096BDF" w:rsidRPr="00D767BD">
        <w:tc>
          <w:tcPr>
            <w:tcW w:w="1700" w:type="dxa"/>
            <w:shd w:val="clear" w:color="auto" w:fill="DAEEF3" w:themeFill="accent5" w:themeFillTint="33"/>
            <w:vAlign w:val="center"/>
          </w:tcPr>
          <w:p w:rsidR="00096BDF" w:rsidRPr="00D767BD" w:rsidRDefault="00096BDF" w:rsidP="007C1463">
            <w:pPr>
              <w:jc w:val="center"/>
            </w:pPr>
            <w:r w:rsidRPr="00D767BD">
              <w:t>Savings – kW</w:t>
            </w:r>
          </w:p>
        </w:tc>
        <w:tc>
          <w:tcPr>
            <w:tcW w:w="1890" w:type="dxa"/>
            <w:shd w:val="clear" w:color="auto" w:fill="DAEEF3" w:themeFill="accent5" w:themeFillTint="33"/>
          </w:tcPr>
          <w:p w:rsidR="00096BDF" w:rsidRPr="00D767BD" w:rsidRDefault="00096BDF" w:rsidP="007C1463">
            <w:pPr>
              <w:jc w:val="center"/>
            </w:pPr>
          </w:p>
        </w:tc>
        <w:tc>
          <w:tcPr>
            <w:tcW w:w="2070" w:type="dxa"/>
            <w:shd w:val="clear" w:color="auto" w:fill="DAEEF3" w:themeFill="accent5" w:themeFillTint="33"/>
            <w:vAlign w:val="center"/>
          </w:tcPr>
          <w:p w:rsidR="00096BDF" w:rsidRPr="00D767BD" w:rsidRDefault="00096BDF" w:rsidP="007C1463">
            <w:pPr>
              <w:jc w:val="center"/>
            </w:pPr>
          </w:p>
        </w:tc>
        <w:tc>
          <w:tcPr>
            <w:tcW w:w="3690" w:type="dxa"/>
            <w:shd w:val="clear" w:color="auto" w:fill="DAEEF3" w:themeFill="accent5" w:themeFillTint="33"/>
            <w:vAlign w:val="center"/>
          </w:tcPr>
          <w:p w:rsidR="00096BDF" w:rsidRPr="00D767BD" w:rsidRDefault="00096BDF" w:rsidP="007C1463">
            <w:pPr>
              <w:jc w:val="center"/>
            </w:pPr>
          </w:p>
        </w:tc>
      </w:tr>
      <w:tr w:rsidR="00096BDF" w:rsidRPr="00AD2324">
        <w:tc>
          <w:tcPr>
            <w:tcW w:w="1700" w:type="dxa"/>
            <w:shd w:val="clear" w:color="auto" w:fill="FFFFFF" w:themeFill="background1"/>
            <w:vAlign w:val="center"/>
          </w:tcPr>
          <w:p w:rsidR="00096BDF" w:rsidRPr="00AD2324" w:rsidRDefault="00096BDF" w:rsidP="007C1463">
            <w:pPr>
              <w:jc w:val="center"/>
              <w:rPr>
                <w:sz w:val="20"/>
                <w:szCs w:val="20"/>
              </w:rPr>
            </w:pPr>
            <w:r w:rsidRPr="00AD2324">
              <w:rPr>
                <w:sz w:val="20"/>
                <w:szCs w:val="20"/>
              </w:rPr>
              <w:t>Savings – therm</w:t>
            </w:r>
          </w:p>
        </w:tc>
        <w:tc>
          <w:tcPr>
            <w:tcW w:w="1890" w:type="dxa"/>
            <w:shd w:val="clear" w:color="auto" w:fill="FFFFFF" w:themeFill="background1"/>
          </w:tcPr>
          <w:p w:rsidR="00096BDF" w:rsidRPr="00AD2324" w:rsidRDefault="00096BDF" w:rsidP="007C1463">
            <w:pPr>
              <w:jc w:val="center"/>
              <w:rPr>
                <w:sz w:val="20"/>
                <w:szCs w:val="20"/>
              </w:rPr>
            </w:pPr>
          </w:p>
        </w:tc>
        <w:tc>
          <w:tcPr>
            <w:tcW w:w="2070" w:type="dxa"/>
            <w:shd w:val="clear" w:color="auto" w:fill="FFFFFF" w:themeFill="background1"/>
            <w:vAlign w:val="center"/>
          </w:tcPr>
          <w:p w:rsidR="00096BDF" w:rsidRPr="00AD2324" w:rsidRDefault="00096BDF" w:rsidP="007C1463">
            <w:pPr>
              <w:jc w:val="center"/>
              <w:rPr>
                <w:sz w:val="20"/>
                <w:szCs w:val="20"/>
              </w:rPr>
            </w:pPr>
          </w:p>
        </w:tc>
        <w:tc>
          <w:tcPr>
            <w:tcW w:w="3690" w:type="dxa"/>
            <w:shd w:val="clear" w:color="auto" w:fill="FFFFFF" w:themeFill="background1"/>
            <w:vAlign w:val="center"/>
          </w:tcPr>
          <w:p w:rsidR="00096BDF" w:rsidRPr="00AD2324" w:rsidRDefault="00096BDF" w:rsidP="007C1463">
            <w:pPr>
              <w:jc w:val="center"/>
              <w:rPr>
                <w:sz w:val="20"/>
                <w:szCs w:val="20"/>
              </w:rPr>
            </w:pPr>
          </w:p>
        </w:tc>
      </w:tr>
      <w:tr w:rsidR="00096BDF" w:rsidRPr="00AD2324">
        <w:tc>
          <w:tcPr>
            <w:tcW w:w="1700" w:type="dxa"/>
            <w:shd w:val="clear" w:color="auto" w:fill="DAEEF3" w:themeFill="accent5" w:themeFillTint="33"/>
            <w:vAlign w:val="center"/>
          </w:tcPr>
          <w:p w:rsidR="00096BDF" w:rsidRPr="00AD2324" w:rsidRDefault="00096BDF" w:rsidP="007C1463">
            <w:pPr>
              <w:jc w:val="center"/>
              <w:rPr>
                <w:sz w:val="20"/>
                <w:szCs w:val="20"/>
              </w:rPr>
            </w:pPr>
            <w:r w:rsidRPr="00AD2324">
              <w:rPr>
                <w:sz w:val="20"/>
                <w:szCs w:val="20"/>
              </w:rPr>
              <w:t>EUL or RUL</w:t>
            </w:r>
          </w:p>
        </w:tc>
        <w:tc>
          <w:tcPr>
            <w:tcW w:w="1890" w:type="dxa"/>
            <w:shd w:val="clear" w:color="auto" w:fill="DAEEF3" w:themeFill="accent5" w:themeFillTint="33"/>
          </w:tcPr>
          <w:p w:rsidR="00096BDF" w:rsidRPr="00AD2324" w:rsidRDefault="00096BDF" w:rsidP="007C1463">
            <w:pPr>
              <w:jc w:val="center"/>
              <w:rPr>
                <w:sz w:val="20"/>
                <w:szCs w:val="20"/>
              </w:rPr>
            </w:pPr>
          </w:p>
        </w:tc>
        <w:tc>
          <w:tcPr>
            <w:tcW w:w="2070" w:type="dxa"/>
            <w:shd w:val="clear" w:color="auto" w:fill="DAEEF3" w:themeFill="accent5" w:themeFillTint="33"/>
            <w:vAlign w:val="center"/>
          </w:tcPr>
          <w:p w:rsidR="00096BDF" w:rsidRPr="00AD2324" w:rsidRDefault="00096BDF" w:rsidP="007C1463">
            <w:pPr>
              <w:jc w:val="center"/>
              <w:rPr>
                <w:sz w:val="20"/>
                <w:szCs w:val="20"/>
              </w:rPr>
            </w:pPr>
          </w:p>
        </w:tc>
        <w:tc>
          <w:tcPr>
            <w:tcW w:w="3690" w:type="dxa"/>
            <w:shd w:val="clear" w:color="auto" w:fill="DAEEF3" w:themeFill="accent5" w:themeFillTint="33"/>
            <w:vAlign w:val="center"/>
          </w:tcPr>
          <w:p w:rsidR="00096BDF" w:rsidRPr="00AD2324" w:rsidRDefault="00096BDF" w:rsidP="007C1463">
            <w:pPr>
              <w:jc w:val="center"/>
              <w:rPr>
                <w:sz w:val="20"/>
                <w:szCs w:val="20"/>
              </w:rPr>
            </w:pPr>
          </w:p>
        </w:tc>
      </w:tr>
      <w:tr w:rsidR="00096BDF" w:rsidRPr="00AD2324">
        <w:tc>
          <w:tcPr>
            <w:tcW w:w="1700" w:type="dxa"/>
            <w:shd w:val="clear" w:color="auto" w:fill="FFFFFF" w:themeFill="background1"/>
            <w:vAlign w:val="center"/>
          </w:tcPr>
          <w:p w:rsidR="00096BDF" w:rsidRPr="00AD2324" w:rsidRDefault="00096BDF" w:rsidP="007C1463">
            <w:pPr>
              <w:jc w:val="center"/>
              <w:rPr>
                <w:sz w:val="20"/>
                <w:szCs w:val="20"/>
              </w:rPr>
            </w:pPr>
            <w:r w:rsidRPr="00AD2324">
              <w:rPr>
                <w:sz w:val="20"/>
                <w:szCs w:val="20"/>
              </w:rPr>
              <w:t>MC or IMC</w:t>
            </w:r>
          </w:p>
        </w:tc>
        <w:tc>
          <w:tcPr>
            <w:tcW w:w="1890" w:type="dxa"/>
            <w:shd w:val="clear" w:color="auto" w:fill="FFFFFF" w:themeFill="background1"/>
          </w:tcPr>
          <w:p w:rsidR="00096BDF" w:rsidRPr="00AD2324" w:rsidRDefault="00096BDF" w:rsidP="007C1463">
            <w:pPr>
              <w:jc w:val="center"/>
              <w:rPr>
                <w:sz w:val="20"/>
                <w:szCs w:val="20"/>
              </w:rPr>
            </w:pPr>
          </w:p>
        </w:tc>
        <w:tc>
          <w:tcPr>
            <w:tcW w:w="2070" w:type="dxa"/>
            <w:shd w:val="clear" w:color="auto" w:fill="FFFFFF" w:themeFill="background1"/>
            <w:vAlign w:val="center"/>
          </w:tcPr>
          <w:p w:rsidR="00096BDF" w:rsidRPr="00AD2324" w:rsidRDefault="00096BDF" w:rsidP="007C1463">
            <w:pPr>
              <w:jc w:val="center"/>
              <w:rPr>
                <w:sz w:val="20"/>
                <w:szCs w:val="20"/>
              </w:rPr>
            </w:pPr>
          </w:p>
        </w:tc>
        <w:tc>
          <w:tcPr>
            <w:tcW w:w="3690" w:type="dxa"/>
            <w:shd w:val="clear" w:color="auto" w:fill="FFFFFF" w:themeFill="background1"/>
            <w:vAlign w:val="center"/>
          </w:tcPr>
          <w:p w:rsidR="00096BDF" w:rsidRPr="00AD2324" w:rsidRDefault="00096BDF" w:rsidP="007C1463">
            <w:pPr>
              <w:jc w:val="center"/>
              <w:rPr>
                <w:sz w:val="20"/>
                <w:szCs w:val="20"/>
              </w:rPr>
            </w:pPr>
          </w:p>
        </w:tc>
      </w:tr>
      <w:tr w:rsidR="00096BDF" w:rsidRPr="00AD2324">
        <w:tc>
          <w:tcPr>
            <w:tcW w:w="1700" w:type="dxa"/>
            <w:shd w:val="clear" w:color="auto" w:fill="DAEEF3" w:themeFill="accent5" w:themeFillTint="33"/>
            <w:vAlign w:val="center"/>
          </w:tcPr>
          <w:p w:rsidR="00096BDF" w:rsidRPr="00AD2324" w:rsidRDefault="00096BDF" w:rsidP="007C1463">
            <w:pPr>
              <w:jc w:val="center"/>
              <w:rPr>
                <w:sz w:val="20"/>
                <w:szCs w:val="20"/>
              </w:rPr>
            </w:pPr>
            <w:r w:rsidRPr="00AD2324">
              <w:rPr>
                <w:sz w:val="20"/>
                <w:szCs w:val="20"/>
              </w:rPr>
              <w:t>NTG</w:t>
            </w:r>
          </w:p>
        </w:tc>
        <w:tc>
          <w:tcPr>
            <w:tcW w:w="1890" w:type="dxa"/>
            <w:shd w:val="clear" w:color="auto" w:fill="DAEEF3" w:themeFill="accent5" w:themeFillTint="33"/>
          </w:tcPr>
          <w:p w:rsidR="00096BDF" w:rsidRPr="00AD2324" w:rsidRDefault="00096BDF" w:rsidP="007C1463">
            <w:pPr>
              <w:jc w:val="center"/>
              <w:rPr>
                <w:sz w:val="20"/>
                <w:szCs w:val="20"/>
              </w:rPr>
            </w:pPr>
          </w:p>
        </w:tc>
        <w:tc>
          <w:tcPr>
            <w:tcW w:w="2070" w:type="dxa"/>
            <w:shd w:val="clear" w:color="auto" w:fill="DAEEF3" w:themeFill="accent5" w:themeFillTint="33"/>
            <w:vAlign w:val="center"/>
          </w:tcPr>
          <w:p w:rsidR="00096BDF" w:rsidRPr="00AD2324" w:rsidRDefault="00096BDF" w:rsidP="007C1463">
            <w:pPr>
              <w:jc w:val="center"/>
              <w:rPr>
                <w:sz w:val="20"/>
                <w:szCs w:val="20"/>
              </w:rPr>
            </w:pPr>
          </w:p>
        </w:tc>
        <w:tc>
          <w:tcPr>
            <w:tcW w:w="3690" w:type="dxa"/>
            <w:shd w:val="clear" w:color="auto" w:fill="DAEEF3" w:themeFill="accent5" w:themeFillTint="33"/>
            <w:vAlign w:val="center"/>
          </w:tcPr>
          <w:p w:rsidR="00096BDF" w:rsidRPr="00AD2324" w:rsidRDefault="00096BDF" w:rsidP="007C1463">
            <w:pPr>
              <w:jc w:val="center"/>
              <w:rPr>
                <w:sz w:val="20"/>
                <w:szCs w:val="20"/>
              </w:rPr>
            </w:pPr>
          </w:p>
        </w:tc>
      </w:tr>
    </w:tbl>
    <w:p w:rsidR="00C636BA" w:rsidRDefault="00C636BA" w:rsidP="00A76B2E"/>
    <w:p w:rsidR="006A4958" w:rsidRDefault="006A4958" w:rsidP="002E256D">
      <w:pPr>
        <w:pStyle w:val="Heading1"/>
        <w:numPr>
          <w:ilvl w:val="0"/>
          <w:numId w:val="24"/>
        </w:numPr>
        <w:ind w:hanging="630"/>
      </w:pPr>
      <w:r>
        <w:t xml:space="preserve">Cal TF Comments </w:t>
      </w:r>
      <w:r w:rsidR="00BB22C2">
        <w:t xml:space="preserve">on Proposed </w:t>
      </w:r>
      <w:r w:rsidR="00AD2324">
        <w:t xml:space="preserve">Measure Parameter </w:t>
      </w:r>
      <w:r w:rsidR="00BB22C2">
        <w:t xml:space="preserve">Data </w:t>
      </w:r>
      <w:r w:rsidR="009F2336">
        <w:t xml:space="preserve">and </w:t>
      </w:r>
      <w:r w:rsidR="00AD2324">
        <w:t>Sources</w:t>
      </w:r>
    </w:p>
    <w:p w:rsidR="00AD2324" w:rsidRDefault="006A4958" w:rsidP="00D767BD">
      <w:pPr>
        <w:ind w:left="90"/>
        <w:rPr>
          <w:i/>
          <w:color w:val="FF0000"/>
        </w:rPr>
      </w:pPr>
      <w:r w:rsidRPr="00AD2324">
        <w:rPr>
          <w:i/>
          <w:color w:val="FF0000"/>
        </w:rPr>
        <w:t xml:space="preserve">Cal </w:t>
      </w:r>
      <w:r w:rsidR="009F2336">
        <w:rPr>
          <w:i/>
          <w:color w:val="FF0000"/>
        </w:rPr>
        <w:t>TF comments on proposed data</w:t>
      </w:r>
      <w:r w:rsidR="00AD2324">
        <w:rPr>
          <w:i/>
          <w:color w:val="FF0000"/>
        </w:rPr>
        <w:t xml:space="preserve"> and sources</w:t>
      </w:r>
      <w:r w:rsidR="009F2336">
        <w:rPr>
          <w:i/>
          <w:color w:val="FF0000"/>
        </w:rPr>
        <w:t>.  Do data</w:t>
      </w:r>
      <w:r w:rsidRPr="00AD2324">
        <w:rPr>
          <w:i/>
          <w:color w:val="FF0000"/>
        </w:rPr>
        <w:t xml:space="preserve"> represent best available data?  I</w:t>
      </w:r>
      <w:r w:rsidR="009F2336">
        <w:rPr>
          <w:i/>
          <w:color w:val="FF0000"/>
        </w:rPr>
        <w:t>f not, what are alternate data</w:t>
      </w:r>
      <w:r w:rsidRPr="00AD2324">
        <w:rPr>
          <w:i/>
          <w:color w:val="FF0000"/>
        </w:rPr>
        <w:t>/sources that should be considered?</w:t>
      </w:r>
    </w:p>
    <w:p w:rsidR="00AD2324" w:rsidRDefault="00AD2324">
      <w:pPr>
        <w:rPr>
          <w:i/>
          <w:color w:val="FF0000"/>
        </w:rPr>
      </w:pPr>
    </w:p>
    <w:p w:rsidR="00096BDF" w:rsidRDefault="00096BDF">
      <w:pPr>
        <w:rPr>
          <w:b/>
        </w:rPr>
      </w:pPr>
      <w:r>
        <w:rPr>
          <w:b/>
        </w:rPr>
        <w:br w:type="page"/>
      </w:r>
    </w:p>
    <w:p w:rsidR="00C636BA" w:rsidRDefault="00096BDF" w:rsidP="00C636BA">
      <w:pPr>
        <w:spacing w:after="60"/>
      </w:pPr>
      <w:r>
        <w:rPr>
          <w:b/>
        </w:rPr>
        <w:t>Table 5</w:t>
      </w:r>
      <w:r w:rsidR="00C636BA" w:rsidRPr="00C636BA">
        <w:rPr>
          <w:b/>
        </w:rPr>
        <w:t>.</w:t>
      </w:r>
      <w:r w:rsidR="00C636BA">
        <w:t xml:space="preserve"> </w:t>
      </w:r>
      <w:r>
        <w:t xml:space="preserve">Cal TF Comments on </w:t>
      </w:r>
      <w:r w:rsidR="00C636BA">
        <w:t>Measure Parameter Data and Sources</w:t>
      </w:r>
    </w:p>
    <w:tbl>
      <w:tblPr>
        <w:tblStyle w:val="TableGrid"/>
        <w:tblW w:w="8995"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6" w:space="0" w:color="4BACC6" w:themeColor="accent5"/>
          <w:insideV w:val="single" w:sz="6" w:space="0" w:color="4BACC6" w:themeColor="accent5"/>
        </w:tblBorders>
        <w:tblLook w:val="04A0"/>
      </w:tblPr>
      <w:tblGrid>
        <w:gridCol w:w="2022"/>
        <w:gridCol w:w="3193"/>
        <w:gridCol w:w="3780"/>
      </w:tblGrid>
      <w:tr w:rsidR="00BB22C2" w:rsidRPr="00C636BA">
        <w:tc>
          <w:tcPr>
            <w:tcW w:w="2022" w:type="dxa"/>
            <w:shd w:val="clear" w:color="auto" w:fill="DAEEF3" w:themeFill="accent5" w:themeFillTint="33"/>
            <w:vAlign w:val="center"/>
          </w:tcPr>
          <w:p w:rsidR="00BB22C2" w:rsidRPr="00C636BA" w:rsidRDefault="00BB22C2" w:rsidP="00C636BA">
            <w:pPr>
              <w:jc w:val="center"/>
              <w:rPr>
                <w:b/>
                <w:sz w:val="20"/>
                <w:szCs w:val="20"/>
              </w:rPr>
            </w:pPr>
            <w:r w:rsidRPr="00C636BA">
              <w:rPr>
                <w:b/>
                <w:sz w:val="20"/>
                <w:szCs w:val="20"/>
              </w:rPr>
              <w:t>Measure Parameter</w:t>
            </w:r>
          </w:p>
        </w:tc>
        <w:tc>
          <w:tcPr>
            <w:tcW w:w="3193" w:type="dxa"/>
            <w:shd w:val="clear" w:color="auto" w:fill="DAEEF3" w:themeFill="accent5" w:themeFillTint="33"/>
          </w:tcPr>
          <w:p w:rsidR="00BB22C2" w:rsidRPr="00C636BA" w:rsidRDefault="00BB22C2" w:rsidP="00C636BA">
            <w:pPr>
              <w:jc w:val="center"/>
              <w:rPr>
                <w:b/>
                <w:sz w:val="20"/>
                <w:szCs w:val="20"/>
              </w:rPr>
            </w:pPr>
            <w:r w:rsidRPr="00C636BA">
              <w:rPr>
                <w:b/>
                <w:sz w:val="20"/>
                <w:szCs w:val="20"/>
              </w:rPr>
              <w:t>Cal TF Comments on</w:t>
            </w:r>
          </w:p>
          <w:p w:rsidR="00BB22C2" w:rsidRPr="00C636BA" w:rsidRDefault="00BB22C2" w:rsidP="00C636BA">
            <w:pPr>
              <w:jc w:val="center"/>
              <w:rPr>
                <w:b/>
                <w:sz w:val="20"/>
                <w:szCs w:val="20"/>
              </w:rPr>
            </w:pPr>
            <w:r w:rsidRPr="00C636BA">
              <w:rPr>
                <w:b/>
                <w:sz w:val="20"/>
                <w:szCs w:val="20"/>
              </w:rPr>
              <w:t>Proposed Data/Source</w:t>
            </w:r>
          </w:p>
        </w:tc>
        <w:tc>
          <w:tcPr>
            <w:tcW w:w="3780" w:type="dxa"/>
            <w:shd w:val="clear" w:color="auto" w:fill="DAEEF3" w:themeFill="accent5" w:themeFillTint="33"/>
            <w:vAlign w:val="center"/>
          </w:tcPr>
          <w:p w:rsidR="00BB22C2" w:rsidRPr="00C636BA" w:rsidRDefault="00BB22C2" w:rsidP="00C636BA">
            <w:pPr>
              <w:jc w:val="center"/>
              <w:rPr>
                <w:b/>
                <w:sz w:val="20"/>
                <w:szCs w:val="20"/>
              </w:rPr>
            </w:pPr>
            <w:r w:rsidRPr="00C636BA">
              <w:rPr>
                <w:b/>
                <w:sz w:val="20"/>
                <w:szCs w:val="20"/>
              </w:rPr>
              <w:t>Cal TF Recommendation(s) on Alternate Sources to Consider</w:t>
            </w:r>
          </w:p>
        </w:tc>
      </w:tr>
      <w:tr w:rsidR="00BB22C2" w:rsidRPr="00AD2324">
        <w:tc>
          <w:tcPr>
            <w:tcW w:w="2022" w:type="dxa"/>
            <w:vAlign w:val="center"/>
          </w:tcPr>
          <w:p w:rsidR="00BB22C2" w:rsidRPr="00AD2324" w:rsidRDefault="00BB22C2" w:rsidP="00C636BA">
            <w:pPr>
              <w:jc w:val="center"/>
              <w:rPr>
                <w:sz w:val="20"/>
                <w:szCs w:val="20"/>
              </w:rPr>
            </w:pPr>
            <w:r w:rsidRPr="00AD2324">
              <w:rPr>
                <w:sz w:val="20"/>
                <w:szCs w:val="20"/>
              </w:rPr>
              <w:t>Savings – kWh</w:t>
            </w:r>
          </w:p>
        </w:tc>
        <w:tc>
          <w:tcPr>
            <w:tcW w:w="3193" w:type="dxa"/>
          </w:tcPr>
          <w:p w:rsidR="00BB22C2" w:rsidRPr="00AD2324" w:rsidRDefault="00BB22C2" w:rsidP="00C636BA">
            <w:pPr>
              <w:jc w:val="center"/>
              <w:rPr>
                <w:sz w:val="20"/>
                <w:szCs w:val="20"/>
              </w:rPr>
            </w:pPr>
          </w:p>
        </w:tc>
        <w:tc>
          <w:tcPr>
            <w:tcW w:w="3780" w:type="dxa"/>
            <w:vAlign w:val="center"/>
          </w:tcPr>
          <w:p w:rsidR="00BB22C2" w:rsidRPr="00AD2324" w:rsidRDefault="00BB22C2" w:rsidP="00C636BA">
            <w:pPr>
              <w:jc w:val="center"/>
              <w:rPr>
                <w:sz w:val="20"/>
                <w:szCs w:val="20"/>
              </w:rPr>
            </w:pPr>
          </w:p>
        </w:tc>
      </w:tr>
      <w:tr w:rsidR="00BB22C2" w:rsidRPr="00AD2324">
        <w:tc>
          <w:tcPr>
            <w:tcW w:w="2022" w:type="dxa"/>
            <w:shd w:val="clear" w:color="auto" w:fill="DAEEF3" w:themeFill="accent5" w:themeFillTint="33"/>
            <w:vAlign w:val="center"/>
          </w:tcPr>
          <w:p w:rsidR="00BB22C2" w:rsidRPr="00AD2324" w:rsidRDefault="00BB22C2" w:rsidP="00C636BA">
            <w:pPr>
              <w:jc w:val="center"/>
              <w:rPr>
                <w:sz w:val="20"/>
                <w:szCs w:val="20"/>
              </w:rPr>
            </w:pPr>
            <w:r w:rsidRPr="00AD2324">
              <w:rPr>
                <w:sz w:val="20"/>
                <w:szCs w:val="20"/>
              </w:rPr>
              <w:t>Savings – kW</w:t>
            </w:r>
          </w:p>
        </w:tc>
        <w:tc>
          <w:tcPr>
            <w:tcW w:w="3193" w:type="dxa"/>
            <w:shd w:val="clear" w:color="auto" w:fill="DAEEF3" w:themeFill="accent5" w:themeFillTint="33"/>
          </w:tcPr>
          <w:p w:rsidR="00BB22C2" w:rsidRPr="00AD2324" w:rsidRDefault="00BB22C2" w:rsidP="00C636BA">
            <w:pPr>
              <w:jc w:val="center"/>
              <w:rPr>
                <w:sz w:val="20"/>
                <w:szCs w:val="20"/>
              </w:rPr>
            </w:pPr>
          </w:p>
        </w:tc>
        <w:tc>
          <w:tcPr>
            <w:tcW w:w="3780" w:type="dxa"/>
            <w:shd w:val="clear" w:color="auto" w:fill="DAEEF3" w:themeFill="accent5" w:themeFillTint="33"/>
            <w:vAlign w:val="center"/>
          </w:tcPr>
          <w:p w:rsidR="00BB22C2" w:rsidRPr="00AD2324" w:rsidRDefault="00BB22C2" w:rsidP="00C636BA">
            <w:pPr>
              <w:jc w:val="center"/>
              <w:rPr>
                <w:sz w:val="20"/>
                <w:szCs w:val="20"/>
              </w:rPr>
            </w:pPr>
          </w:p>
        </w:tc>
      </w:tr>
      <w:tr w:rsidR="00BB22C2" w:rsidRPr="00AD2324">
        <w:tc>
          <w:tcPr>
            <w:tcW w:w="2022" w:type="dxa"/>
            <w:vAlign w:val="center"/>
          </w:tcPr>
          <w:p w:rsidR="00BB22C2" w:rsidRPr="00AD2324" w:rsidRDefault="00BB22C2" w:rsidP="00C636BA">
            <w:pPr>
              <w:jc w:val="center"/>
              <w:rPr>
                <w:sz w:val="20"/>
                <w:szCs w:val="20"/>
              </w:rPr>
            </w:pPr>
            <w:r w:rsidRPr="00AD2324">
              <w:rPr>
                <w:sz w:val="20"/>
                <w:szCs w:val="20"/>
              </w:rPr>
              <w:t>Savings – therm</w:t>
            </w:r>
          </w:p>
        </w:tc>
        <w:tc>
          <w:tcPr>
            <w:tcW w:w="3193" w:type="dxa"/>
          </w:tcPr>
          <w:p w:rsidR="00BB22C2" w:rsidRPr="00AD2324" w:rsidRDefault="00BB22C2" w:rsidP="00C636BA">
            <w:pPr>
              <w:jc w:val="center"/>
              <w:rPr>
                <w:sz w:val="20"/>
                <w:szCs w:val="20"/>
              </w:rPr>
            </w:pPr>
          </w:p>
        </w:tc>
        <w:tc>
          <w:tcPr>
            <w:tcW w:w="3780" w:type="dxa"/>
            <w:vAlign w:val="center"/>
          </w:tcPr>
          <w:p w:rsidR="00BB22C2" w:rsidRPr="00AD2324" w:rsidRDefault="00BB22C2" w:rsidP="00C636BA">
            <w:pPr>
              <w:jc w:val="center"/>
              <w:rPr>
                <w:sz w:val="20"/>
                <w:szCs w:val="20"/>
              </w:rPr>
            </w:pPr>
          </w:p>
        </w:tc>
      </w:tr>
      <w:tr w:rsidR="00BB22C2" w:rsidRPr="00AD2324">
        <w:tc>
          <w:tcPr>
            <w:tcW w:w="2022" w:type="dxa"/>
            <w:shd w:val="clear" w:color="auto" w:fill="DAEEF3" w:themeFill="accent5" w:themeFillTint="33"/>
            <w:vAlign w:val="center"/>
          </w:tcPr>
          <w:p w:rsidR="00BB22C2" w:rsidRPr="00AD2324" w:rsidRDefault="00BB22C2" w:rsidP="00C636BA">
            <w:pPr>
              <w:jc w:val="center"/>
              <w:rPr>
                <w:sz w:val="20"/>
                <w:szCs w:val="20"/>
              </w:rPr>
            </w:pPr>
            <w:r w:rsidRPr="00AD2324">
              <w:rPr>
                <w:sz w:val="20"/>
                <w:szCs w:val="20"/>
              </w:rPr>
              <w:t>EUL or RUL</w:t>
            </w:r>
          </w:p>
        </w:tc>
        <w:tc>
          <w:tcPr>
            <w:tcW w:w="3193" w:type="dxa"/>
            <w:shd w:val="clear" w:color="auto" w:fill="DAEEF3" w:themeFill="accent5" w:themeFillTint="33"/>
          </w:tcPr>
          <w:p w:rsidR="00BB22C2" w:rsidRPr="00AD2324" w:rsidRDefault="00BB22C2" w:rsidP="00C636BA">
            <w:pPr>
              <w:jc w:val="center"/>
              <w:rPr>
                <w:sz w:val="20"/>
                <w:szCs w:val="20"/>
              </w:rPr>
            </w:pPr>
          </w:p>
        </w:tc>
        <w:tc>
          <w:tcPr>
            <w:tcW w:w="3780" w:type="dxa"/>
            <w:shd w:val="clear" w:color="auto" w:fill="DAEEF3" w:themeFill="accent5" w:themeFillTint="33"/>
            <w:vAlign w:val="center"/>
          </w:tcPr>
          <w:p w:rsidR="00BB22C2" w:rsidRPr="00AD2324" w:rsidRDefault="00BB22C2" w:rsidP="00C636BA">
            <w:pPr>
              <w:jc w:val="center"/>
              <w:rPr>
                <w:sz w:val="20"/>
                <w:szCs w:val="20"/>
              </w:rPr>
            </w:pPr>
          </w:p>
        </w:tc>
      </w:tr>
      <w:tr w:rsidR="00BB22C2" w:rsidRPr="00AD2324">
        <w:tc>
          <w:tcPr>
            <w:tcW w:w="2022" w:type="dxa"/>
            <w:vAlign w:val="center"/>
          </w:tcPr>
          <w:p w:rsidR="00BB22C2" w:rsidRPr="00AD2324" w:rsidRDefault="00BB22C2" w:rsidP="00C636BA">
            <w:pPr>
              <w:jc w:val="center"/>
              <w:rPr>
                <w:sz w:val="20"/>
                <w:szCs w:val="20"/>
              </w:rPr>
            </w:pPr>
            <w:r w:rsidRPr="00AD2324">
              <w:rPr>
                <w:sz w:val="20"/>
                <w:szCs w:val="20"/>
              </w:rPr>
              <w:t>MC or IMC</w:t>
            </w:r>
          </w:p>
        </w:tc>
        <w:tc>
          <w:tcPr>
            <w:tcW w:w="3193" w:type="dxa"/>
          </w:tcPr>
          <w:p w:rsidR="00BB22C2" w:rsidRPr="00AD2324" w:rsidRDefault="00BB22C2" w:rsidP="00C636BA">
            <w:pPr>
              <w:jc w:val="center"/>
              <w:rPr>
                <w:sz w:val="20"/>
                <w:szCs w:val="20"/>
              </w:rPr>
            </w:pPr>
          </w:p>
        </w:tc>
        <w:tc>
          <w:tcPr>
            <w:tcW w:w="3780" w:type="dxa"/>
            <w:vAlign w:val="center"/>
          </w:tcPr>
          <w:p w:rsidR="00BB22C2" w:rsidRPr="00AD2324" w:rsidRDefault="00BB22C2" w:rsidP="00C636BA">
            <w:pPr>
              <w:jc w:val="center"/>
              <w:rPr>
                <w:sz w:val="20"/>
                <w:szCs w:val="20"/>
              </w:rPr>
            </w:pPr>
          </w:p>
        </w:tc>
      </w:tr>
      <w:tr w:rsidR="00BB22C2" w:rsidRPr="00AD2324">
        <w:tc>
          <w:tcPr>
            <w:tcW w:w="2022" w:type="dxa"/>
            <w:shd w:val="clear" w:color="auto" w:fill="DAEEF3" w:themeFill="accent5" w:themeFillTint="33"/>
            <w:vAlign w:val="center"/>
          </w:tcPr>
          <w:p w:rsidR="00BB22C2" w:rsidRPr="00AD2324" w:rsidRDefault="00BB22C2" w:rsidP="00C636BA">
            <w:pPr>
              <w:jc w:val="center"/>
              <w:rPr>
                <w:sz w:val="20"/>
                <w:szCs w:val="20"/>
              </w:rPr>
            </w:pPr>
            <w:r w:rsidRPr="00AD2324">
              <w:rPr>
                <w:sz w:val="20"/>
                <w:szCs w:val="20"/>
              </w:rPr>
              <w:t>NTG</w:t>
            </w:r>
          </w:p>
        </w:tc>
        <w:tc>
          <w:tcPr>
            <w:tcW w:w="3193" w:type="dxa"/>
            <w:shd w:val="clear" w:color="auto" w:fill="DAEEF3" w:themeFill="accent5" w:themeFillTint="33"/>
          </w:tcPr>
          <w:p w:rsidR="00BB22C2" w:rsidRPr="00AD2324" w:rsidRDefault="00BB22C2" w:rsidP="00C636BA">
            <w:pPr>
              <w:jc w:val="center"/>
              <w:rPr>
                <w:sz w:val="20"/>
                <w:szCs w:val="20"/>
              </w:rPr>
            </w:pPr>
          </w:p>
        </w:tc>
        <w:tc>
          <w:tcPr>
            <w:tcW w:w="3780" w:type="dxa"/>
            <w:shd w:val="clear" w:color="auto" w:fill="DAEEF3" w:themeFill="accent5" w:themeFillTint="33"/>
            <w:vAlign w:val="center"/>
          </w:tcPr>
          <w:p w:rsidR="00BB22C2" w:rsidRPr="00AD2324" w:rsidRDefault="00BB22C2" w:rsidP="00C636BA">
            <w:pPr>
              <w:jc w:val="center"/>
              <w:rPr>
                <w:sz w:val="20"/>
                <w:szCs w:val="20"/>
              </w:rPr>
            </w:pPr>
          </w:p>
        </w:tc>
      </w:tr>
    </w:tbl>
    <w:p w:rsidR="008F305A" w:rsidRPr="008F305A" w:rsidRDefault="008F305A" w:rsidP="00B845D5">
      <w:pPr>
        <w:tabs>
          <w:tab w:val="left" w:pos="3630"/>
        </w:tabs>
      </w:pPr>
    </w:p>
    <w:p w:rsidR="00BB22C2" w:rsidRDefault="00BB22C2" w:rsidP="00BB22C2">
      <w:pPr>
        <w:pStyle w:val="Heading1"/>
        <w:numPr>
          <w:ilvl w:val="0"/>
          <w:numId w:val="24"/>
        </w:numPr>
        <w:ind w:left="360"/>
      </w:pPr>
      <w:r>
        <w:t>Proposed Measure Parameter Methodology Sources</w:t>
      </w:r>
    </w:p>
    <w:p w:rsidR="00037D0E" w:rsidRPr="00037D0E" w:rsidRDefault="00BB22C2" w:rsidP="00D767BD">
      <w:pPr>
        <w:pStyle w:val="ListParagraph"/>
        <w:ind w:left="0"/>
        <w:rPr>
          <w:rFonts w:ascii="Arial" w:hAnsi="Arial" w:cs="Arial"/>
          <w:i/>
          <w:iCs/>
          <w:color w:val="FF0000"/>
          <w:sz w:val="22"/>
          <w:szCs w:val="22"/>
        </w:rPr>
      </w:pPr>
      <w:r>
        <w:rPr>
          <w:rFonts w:ascii="Arial" w:hAnsi="Arial" w:cs="Arial"/>
          <w:i/>
          <w:iCs/>
          <w:color w:val="FF0000"/>
          <w:sz w:val="22"/>
          <w:szCs w:val="22"/>
        </w:rPr>
        <w:t>Include a list of all methodology</w:t>
      </w:r>
      <w:r w:rsidRPr="00B845D5">
        <w:rPr>
          <w:rFonts w:ascii="Arial" w:hAnsi="Arial" w:cs="Arial"/>
          <w:i/>
          <w:iCs/>
          <w:color w:val="FF0000"/>
          <w:sz w:val="22"/>
          <w:szCs w:val="22"/>
        </w:rPr>
        <w:t xml:space="preserve"> and associated </w:t>
      </w:r>
      <w:r>
        <w:rPr>
          <w:rFonts w:ascii="Arial" w:hAnsi="Arial" w:cs="Arial"/>
          <w:i/>
          <w:iCs/>
          <w:color w:val="FF0000"/>
          <w:sz w:val="22"/>
          <w:szCs w:val="22"/>
        </w:rPr>
        <w:t xml:space="preserve">references </w:t>
      </w:r>
      <w:r w:rsidRPr="00B845D5">
        <w:rPr>
          <w:rFonts w:ascii="Arial" w:hAnsi="Arial" w:cs="Arial"/>
          <w:i/>
          <w:iCs/>
          <w:color w:val="FF0000"/>
          <w:sz w:val="22"/>
          <w:szCs w:val="22"/>
        </w:rPr>
        <w:t xml:space="preserve">that will be used </w:t>
      </w:r>
      <w:r>
        <w:rPr>
          <w:rFonts w:ascii="Arial" w:hAnsi="Arial" w:cs="Arial"/>
          <w:i/>
          <w:iCs/>
          <w:color w:val="FF0000"/>
          <w:sz w:val="22"/>
          <w:szCs w:val="22"/>
        </w:rPr>
        <w:t xml:space="preserve">for workpaper cost effectiveness parameters.  Indicate level of confidence that </w:t>
      </w:r>
      <w:r w:rsidR="009F2336">
        <w:rPr>
          <w:rFonts w:ascii="Arial" w:hAnsi="Arial" w:cs="Arial"/>
          <w:i/>
          <w:iCs/>
          <w:color w:val="FF0000"/>
          <w:sz w:val="22"/>
          <w:szCs w:val="22"/>
        </w:rPr>
        <w:t>methodology</w:t>
      </w:r>
      <w:r>
        <w:rPr>
          <w:rFonts w:ascii="Arial" w:hAnsi="Arial" w:cs="Arial"/>
          <w:i/>
          <w:iCs/>
          <w:color w:val="FF0000"/>
          <w:sz w:val="22"/>
          <w:szCs w:val="22"/>
        </w:rPr>
        <w:t xml:space="preserve"> will be sufficient to develop reasonably accurate values with reasonable resource availability.  </w:t>
      </w:r>
      <w:r w:rsidRPr="00B845D5">
        <w:rPr>
          <w:rFonts w:ascii="Arial" w:hAnsi="Arial" w:cs="Arial"/>
          <w:i/>
          <w:iCs/>
          <w:color w:val="FF0000"/>
          <w:sz w:val="22"/>
          <w:szCs w:val="22"/>
        </w:rPr>
        <w:t>Should include web links or linked/embedded files for the reviewer</w:t>
      </w:r>
      <w:r w:rsidR="00D767BD">
        <w:rPr>
          <w:rFonts w:ascii="Arial" w:hAnsi="Arial" w:cs="Arial"/>
          <w:i/>
          <w:iCs/>
          <w:color w:val="FF0000"/>
          <w:sz w:val="22"/>
          <w:szCs w:val="22"/>
        </w:rPr>
        <w:t xml:space="preserve"> in Appendix A</w:t>
      </w:r>
      <w:r w:rsidRPr="00B845D5">
        <w:rPr>
          <w:rFonts w:ascii="Arial" w:hAnsi="Arial" w:cs="Arial"/>
          <w:i/>
          <w:iCs/>
          <w:color w:val="FF0000"/>
          <w:sz w:val="22"/>
          <w:szCs w:val="22"/>
        </w:rPr>
        <w:t xml:space="preserve">. </w:t>
      </w:r>
      <w:r w:rsidR="00037D0E">
        <w:rPr>
          <w:rFonts w:ascii="Arial" w:hAnsi="Arial" w:cs="Arial"/>
          <w:i/>
          <w:iCs/>
          <w:color w:val="FF0000"/>
          <w:sz w:val="22"/>
          <w:szCs w:val="22"/>
        </w:rPr>
        <w:t xml:space="preserve"> Arti</w:t>
      </w:r>
      <w:r w:rsidR="00D767BD">
        <w:rPr>
          <w:rFonts w:ascii="Arial" w:hAnsi="Arial" w:cs="Arial"/>
          <w:i/>
          <w:iCs/>
          <w:color w:val="FF0000"/>
          <w:sz w:val="22"/>
          <w:szCs w:val="22"/>
        </w:rPr>
        <w:t xml:space="preserve">culate in this section any methodology </w:t>
      </w:r>
      <w:r w:rsidR="00037D0E">
        <w:rPr>
          <w:rFonts w:ascii="Arial" w:hAnsi="Arial" w:cs="Arial"/>
          <w:i/>
          <w:iCs/>
          <w:color w:val="FF0000"/>
          <w:sz w:val="22"/>
          <w:szCs w:val="22"/>
        </w:rPr>
        <w:t>assumptions that the TF should be aware of.</w:t>
      </w:r>
    </w:p>
    <w:p w:rsidR="00D353B7" w:rsidRDefault="00D353B7" w:rsidP="00D353B7">
      <w:pPr>
        <w:pStyle w:val="ListParagraph"/>
        <w:ind w:left="0"/>
        <w:rPr>
          <w:rFonts w:ascii="Arial" w:hAnsi="Arial" w:cs="Arial"/>
          <w:sz w:val="22"/>
          <w:szCs w:val="22"/>
        </w:rPr>
      </w:pPr>
    </w:p>
    <w:p w:rsidR="00D353B7" w:rsidRDefault="00D353B7" w:rsidP="00D353B7">
      <w:pPr>
        <w:pStyle w:val="ListParagraph"/>
        <w:ind w:left="0"/>
        <w:rPr>
          <w:rFonts w:ascii="Arial" w:hAnsi="Arial" w:cs="Arial"/>
          <w:sz w:val="22"/>
          <w:szCs w:val="22"/>
        </w:rPr>
      </w:pPr>
      <w:r>
        <w:rPr>
          <w:rFonts w:ascii="Arial" w:hAnsi="Arial" w:cs="Arial"/>
          <w:sz w:val="22"/>
          <w:szCs w:val="22"/>
        </w:rPr>
        <w:t xml:space="preserve">There are typical assumptions about linear fluorescent fixtures’ energy consumption that have been used in IOU programs for the decades that linear fluorescents have been the incumbent technology in commercial interior spaces, for example, the assumption that fluorescent fixtures should be assumed to use a normal light output (NLO) ballast factor. These assumptions helped standardize savings claims for </w:t>
      </w:r>
      <w:r w:rsidR="00A75616">
        <w:rPr>
          <w:rFonts w:ascii="Arial" w:hAnsi="Arial" w:cs="Arial"/>
          <w:sz w:val="22"/>
          <w:szCs w:val="22"/>
        </w:rPr>
        <w:t>linear fluorescent relamping or retrofitting, but they are less applicable for non-fluorescent measures such as LEDs</w:t>
      </w:r>
      <w:r w:rsidR="008257F2">
        <w:rPr>
          <w:rFonts w:ascii="Arial" w:hAnsi="Arial" w:cs="Arial"/>
          <w:sz w:val="22"/>
          <w:szCs w:val="22"/>
        </w:rPr>
        <w:t xml:space="preserve"> than the Title 24 requirements for Luminaire Modification in Place</w:t>
      </w:r>
      <w:r w:rsidR="00A75616">
        <w:rPr>
          <w:rFonts w:ascii="Arial" w:hAnsi="Arial" w:cs="Arial"/>
          <w:sz w:val="22"/>
          <w:szCs w:val="22"/>
        </w:rPr>
        <w:t>. In the context of a change in light source technology, fixture wattages will be constrained by Title 24 Lumen Power Densities (LPDs), so those LPDs should form the basis for determining code baselines.</w:t>
      </w:r>
    </w:p>
    <w:p w:rsidR="008257F2" w:rsidRDefault="008257F2" w:rsidP="00D353B7">
      <w:pPr>
        <w:pStyle w:val="ListParagraph"/>
        <w:ind w:left="0"/>
        <w:rPr>
          <w:rFonts w:ascii="Arial" w:hAnsi="Arial" w:cs="Arial"/>
          <w:sz w:val="22"/>
          <w:szCs w:val="22"/>
        </w:rPr>
      </w:pPr>
    </w:p>
    <w:p w:rsidR="008257F2" w:rsidRDefault="008257F2" w:rsidP="00D353B7">
      <w:pPr>
        <w:pStyle w:val="ListParagraph"/>
        <w:ind w:left="0"/>
        <w:rPr>
          <w:rFonts w:ascii="Arial" w:hAnsi="Arial" w:cs="Arial"/>
          <w:sz w:val="22"/>
          <w:szCs w:val="22"/>
        </w:rPr>
      </w:pPr>
      <w:r>
        <w:rPr>
          <w:rFonts w:ascii="Arial" w:hAnsi="Arial" w:cs="Arial"/>
          <w:sz w:val="22"/>
          <w:szCs w:val="22"/>
        </w:rPr>
        <w:t>2 savings calculation methodologies are proposed for consideration by the Cal TF, both using T24 LPDs as a starting point:</w:t>
      </w:r>
    </w:p>
    <w:p w:rsidR="00D353B7" w:rsidRDefault="00D353B7" w:rsidP="00D353B7">
      <w:pPr>
        <w:pStyle w:val="ListParagraph"/>
        <w:ind w:left="0"/>
        <w:rPr>
          <w:rFonts w:ascii="Arial" w:hAnsi="Arial" w:cs="Arial"/>
          <w:sz w:val="22"/>
          <w:szCs w:val="22"/>
        </w:rPr>
      </w:pPr>
    </w:p>
    <w:p w:rsidR="008257F2" w:rsidRDefault="008257F2" w:rsidP="008257F2">
      <w:pPr>
        <w:pStyle w:val="ListParagraph"/>
        <w:numPr>
          <w:ilvl w:val="0"/>
          <w:numId w:val="31"/>
        </w:numPr>
        <w:contextualSpacing w:val="0"/>
        <w:rPr>
          <w:rFonts w:ascii="Arial" w:hAnsi="Arial" w:cs="Arial"/>
          <w:sz w:val="22"/>
          <w:szCs w:val="22"/>
        </w:rPr>
      </w:pPr>
      <w:r>
        <w:rPr>
          <w:rFonts w:ascii="Arial" w:hAnsi="Arial" w:cs="Arial"/>
          <w:sz w:val="22"/>
          <w:szCs w:val="22"/>
        </w:rPr>
        <w:t xml:space="preserve">Using the illumination models from the </w:t>
      </w:r>
      <w:r w:rsidRPr="008257F2">
        <w:rPr>
          <w:rFonts w:ascii="Arial" w:hAnsi="Arial" w:cs="Arial"/>
          <w:sz w:val="22"/>
          <w:szCs w:val="22"/>
        </w:rPr>
        <w:t xml:space="preserve">CASE </w:t>
      </w:r>
      <w:r>
        <w:rPr>
          <w:rFonts w:ascii="Arial" w:hAnsi="Arial" w:cs="Arial"/>
          <w:sz w:val="22"/>
          <w:szCs w:val="22"/>
        </w:rPr>
        <w:t>R</w:t>
      </w:r>
      <w:r w:rsidRPr="008257F2">
        <w:rPr>
          <w:rFonts w:ascii="Arial" w:hAnsi="Arial" w:cs="Arial"/>
          <w:sz w:val="22"/>
          <w:szCs w:val="22"/>
        </w:rPr>
        <w:t>eport submitted by California IOU advocates to the CEC Title 24 proceedings</w:t>
      </w:r>
      <w:r>
        <w:rPr>
          <w:rFonts w:ascii="Arial" w:hAnsi="Arial" w:cs="Arial"/>
          <w:sz w:val="22"/>
          <w:szCs w:val="22"/>
        </w:rPr>
        <w:t xml:space="preserve"> to define the code-compliant baseline for  Luminaire Modifications-in-Place. </w:t>
      </w:r>
      <w:r w:rsidRPr="008257F2">
        <w:rPr>
          <w:rFonts w:ascii="Arial" w:hAnsi="Arial" w:cs="Arial"/>
          <w:sz w:val="22"/>
          <w:szCs w:val="22"/>
        </w:rPr>
        <w:t xml:space="preserve"> </w:t>
      </w:r>
    </w:p>
    <w:p w:rsidR="008257F2" w:rsidRPr="008257F2" w:rsidRDefault="008257F2" w:rsidP="008257F2">
      <w:pPr>
        <w:pStyle w:val="ListParagraph"/>
        <w:numPr>
          <w:ilvl w:val="1"/>
          <w:numId w:val="31"/>
        </w:numPr>
        <w:contextualSpacing w:val="0"/>
        <w:rPr>
          <w:rFonts w:ascii="Arial" w:hAnsi="Arial" w:cs="Arial"/>
          <w:sz w:val="22"/>
          <w:szCs w:val="22"/>
        </w:rPr>
      </w:pPr>
      <w:r w:rsidRPr="008257F2">
        <w:rPr>
          <w:rFonts w:ascii="Arial" w:hAnsi="Arial" w:cs="Arial"/>
          <w:sz w:val="22"/>
          <w:szCs w:val="22"/>
        </w:rPr>
        <w:t>Research the assumptions that were used to justify the cost-effectiveness of the Lighting Power Densities (LPDs) when originally incorporated into Title 24</w:t>
      </w:r>
    </w:p>
    <w:p w:rsidR="008257F2" w:rsidRPr="007B670B" w:rsidRDefault="008257F2" w:rsidP="007B670B">
      <w:pPr>
        <w:pStyle w:val="ListParagraph"/>
        <w:numPr>
          <w:ilvl w:val="1"/>
          <w:numId w:val="31"/>
        </w:numPr>
        <w:rPr>
          <w:rFonts w:cs="Arial"/>
          <w:szCs w:val="22"/>
        </w:rPr>
      </w:pPr>
      <w:r w:rsidRPr="007B670B">
        <w:rPr>
          <w:rFonts w:cs="Arial"/>
          <w:szCs w:val="22"/>
        </w:rPr>
        <w:t xml:space="preserve">Use the consultant’s assumed maximum fixture wattage required to meet Title 24 as the base case for the fixture measure rebate </w:t>
      </w:r>
    </w:p>
    <w:p w:rsidR="008257F2" w:rsidRPr="008257F2" w:rsidRDefault="008257F2" w:rsidP="008257F2">
      <w:pPr>
        <w:pStyle w:val="ListParagraph"/>
        <w:numPr>
          <w:ilvl w:val="2"/>
          <w:numId w:val="32"/>
        </w:numPr>
        <w:contextualSpacing w:val="0"/>
        <w:rPr>
          <w:rFonts w:ascii="Arial" w:hAnsi="Arial" w:cs="Arial"/>
          <w:sz w:val="22"/>
          <w:szCs w:val="22"/>
        </w:rPr>
      </w:pPr>
      <w:r w:rsidRPr="008257F2">
        <w:rPr>
          <w:rFonts w:ascii="Arial" w:hAnsi="Arial" w:cs="Arial"/>
          <w:sz w:val="22"/>
          <w:szCs w:val="22"/>
        </w:rPr>
        <w:t xml:space="preserve">Update the LPDs from the original Title 24 </w:t>
      </w:r>
      <w:r>
        <w:rPr>
          <w:rFonts w:ascii="Arial" w:hAnsi="Arial" w:cs="Arial"/>
          <w:sz w:val="22"/>
          <w:szCs w:val="22"/>
        </w:rPr>
        <w:t xml:space="preserve">analysis </w:t>
      </w:r>
      <w:r w:rsidRPr="008257F2">
        <w:rPr>
          <w:rFonts w:ascii="Arial" w:hAnsi="Arial" w:cs="Arial"/>
          <w:sz w:val="22"/>
          <w:szCs w:val="22"/>
        </w:rPr>
        <w:t xml:space="preserve">to </w:t>
      </w:r>
      <w:r>
        <w:rPr>
          <w:rFonts w:ascii="Arial" w:hAnsi="Arial" w:cs="Arial"/>
          <w:sz w:val="22"/>
          <w:szCs w:val="22"/>
        </w:rPr>
        <w:t>the 2013</w:t>
      </w:r>
      <w:r w:rsidRPr="008257F2">
        <w:rPr>
          <w:rFonts w:ascii="Arial" w:hAnsi="Arial" w:cs="Arial"/>
          <w:sz w:val="22"/>
          <w:szCs w:val="22"/>
        </w:rPr>
        <w:t xml:space="preserve"> Title 24</w:t>
      </w:r>
      <w:r>
        <w:rPr>
          <w:rFonts w:ascii="Arial" w:hAnsi="Arial" w:cs="Arial"/>
          <w:sz w:val="22"/>
          <w:szCs w:val="22"/>
        </w:rPr>
        <w:t xml:space="preserve"> LPD values, if the original analysis comes from an earlier T24 proceeding</w:t>
      </w:r>
    </w:p>
    <w:p w:rsidR="008257F2" w:rsidRPr="008257F2" w:rsidRDefault="008257F2" w:rsidP="008257F2">
      <w:pPr>
        <w:rPr>
          <w:rFonts w:cs="Arial"/>
          <w:szCs w:val="22"/>
        </w:rPr>
      </w:pPr>
    </w:p>
    <w:p w:rsidR="008257F2" w:rsidRPr="008257F2" w:rsidRDefault="008257F2" w:rsidP="008257F2">
      <w:pPr>
        <w:pStyle w:val="ListParagraph"/>
        <w:numPr>
          <w:ilvl w:val="0"/>
          <w:numId w:val="31"/>
        </w:numPr>
        <w:contextualSpacing w:val="0"/>
        <w:rPr>
          <w:rFonts w:ascii="Arial" w:hAnsi="Arial" w:cs="Arial"/>
          <w:sz w:val="22"/>
          <w:szCs w:val="22"/>
        </w:rPr>
      </w:pPr>
      <w:r w:rsidRPr="008257F2">
        <w:rPr>
          <w:rFonts w:ascii="Arial" w:hAnsi="Arial" w:cs="Arial"/>
          <w:sz w:val="22"/>
          <w:szCs w:val="22"/>
        </w:rPr>
        <w:t>Build a data set of actual fixture performance based on fixture photometric layouts</w:t>
      </w:r>
    </w:p>
    <w:p w:rsidR="008257F2" w:rsidRPr="008257F2" w:rsidRDefault="008257F2" w:rsidP="008257F2">
      <w:pPr>
        <w:pStyle w:val="ListParagraph"/>
        <w:numPr>
          <w:ilvl w:val="1"/>
          <w:numId w:val="33"/>
        </w:numPr>
        <w:contextualSpacing w:val="0"/>
        <w:rPr>
          <w:rFonts w:ascii="Arial" w:hAnsi="Arial" w:cs="Arial"/>
          <w:sz w:val="22"/>
          <w:szCs w:val="22"/>
        </w:rPr>
      </w:pPr>
      <w:r w:rsidRPr="008257F2">
        <w:rPr>
          <w:rFonts w:ascii="Arial" w:hAnsi="Arial" w:cs="Arial"/>
          <w:sz w:val="22"/>
          <w:szCs w:val="22"/>
        </w:rPr>
        <w:t xml:space="preserve">Pick a set of 5 – 10 commonly sold fixtures in California </w:t>
      </w:r>
      <w:r>
        <w:rPr>
          <w:rFonts w:ascii="Arial" w:hAnsi="Arial" w:cs="Arial"/>
          <w:sz w:val="22"/>
          <w:szCs w:val="22"/>
        </w:rPr>
        <w:t>f</w:t>
      </w:r>
      <w:r w:rsidRPr="008257F2">
        <w:rPr>
          <w:rFonts w:ascii="Arial" w:hAnsi="Arial" w:cs="Arial"/>
          <w:sz w:val="22"/>
          <w:szCs w:val="22"/>
        </w:rPr>
        <w:t>or Title 24-compliant projects, using distributor or manufacturer rep</w:t>
      </w:r>
      <w:r>
        <w:rPr>
          <w:rFonts w:ascii="Arial" w:hAnsi="Arial" w:cs="Arial"/>
          <w:sz w:val="22"/>
          <w:szCs w:val="22"/>
        </w:rPr>
        <w:t>resentative</w:t>
      </w:r>
      <w:r w:rsidRPr="008257F2">
        <w:rPr>
          <w:rFonts w:ascii="Arial" w:hAnsi="Arial" w:cs="Arial"/>
          <w:sz w:val="22"/>
          <w:szCs w:val="22"/>
        </w:rPr>
        <w:t xml:space="preserve"> input as needed</w:t>
      </w:r>
    </w:p>
    <w:p w:rsidR="008257F2" w:rsidRPr="008257F2" w:rsidRDefault="008257F2" w:rsidP="008257F2">
      <w:pPr>
        <w:pStyle w:val="ListParagraph"/>
        <w:numPr>
          <w:ilvl w:val="1"/>
          <w:numId w:val="33"/>
        </w:numPr>
        <w:contextualSpacing w:val="0"/>
        <w:rPr>
          <w:rFonts w:ascii="Arial" w:hAnsi="Arial" w:cs="Arial"/>
          <w:sz w:val="22"/>
          <w:szCs w:val="22"/>
        </w:rPr>
      </w:pPr>
      <w:r w:rsidRPr="008257F2">
        <w:rPr>
          <w:rFonts w:ascii="Arial" w:hAnsi="Arial" w:cs="Arial"/>
          <w:sz w:val="22"/>
          <w:szCs w:val="22"/>
        </w:rPr>
        <w:t>Use photometric analysis software to lay out the fixtures in a sample space with fixture spacing for a typical office sector (e.g. 8’ x 10’)</w:t>
      </w:r>
    </w:p>
    <w:p w:rsidR="008257F2" w:rsidRPr="008257F2" w:rsidRDefault="008257F2" w:rsidP="008257F2">
      <w:pPr>
        <w:pStyle w:val="ListParagraph"/>
        <w:numPr>
          <w:ilvl w:val="1"/>
          <w:numId w:val="33"/>
        </w:numPr>
        <w:contextualSpacing w:val="0"/>
        <w:rPr>
          <w:rFonts w:ascii="Arial" w:hAnsi="Arial" w:cs="Arial"/>
          <w:sz w:val="22"/>
          <w:szCs w:val="22"/>
        </w:rPr>
      </w:pPr>
      <w:r w:rsidRPr="008257F2">
        <w:rPr>
          <w:rFonts w:ascii="Arial" w:hAnsi="Arial" w:cs="Arial"/>
          <w:sz w:val="22"/>
          <w:szCs w:val="22"/>
        </w:rPr>
        <w:t>Use Title 24 LPDs to determine which ballast and lamp configurations would meet building code</w:t>
      </w:r>
    </w:p>
    <w:p w:rsidR="008257F2" w:rsidRPr="008257F2" w:rsidRDefault="008257F2" w:rsidP="008257F2">
      <w:pPr>
        <w:pStyle w:val="ListParagraph"/>
        <w:numPr>
          <w:ilvl w:val="1"/>
          <w:numId w:val="33"/>
        </w:numPr>
        <w:contextualSpacing w:val="0"/>
        <w:rPr>
          <w:rFonts w:ascii="Arial" w:hAnsi="Arial" w:cs="Arial"/>
          <w:sz w:val="22"/>
          <w:szCs w:val="22"/>
        </w:rPr>
      </w:pPr>
      <w:r w:rsidRPr="008257F2">
        <w:rPr>
          <w:rFonts w:ascii="Arial" w:hAnsi="Arial" w:cs="Arial"/>
          <w:sz w:val="22"/>
          <w:szCs w:val="22"/>
        </w:rPr>
        <w:t>Use the average of the minimum code-compliant lamp and ballast configurations as the base case for the fixture measure rebate</w:t>
      </w:r>
    </w:p>
    <w:p w:rsidR="008257F2" w:rsidRDefault="008257F2" w:rsidP="00D353B7">
      <w:pPr>
        <w:pStyle w:val="ListParagraph"/>
        <w:ind w:left="0"/>
        <w:rPr>
          <w:rFonts w:ascii="Arial" w:hAnsi="Arial" w:cs="Arial"/>
          <w:sz w:val="22"/>
          <w:szCs w:val="22"/>
        </w:rPr>
      </w:pPr>
    </w:p>
    <w:p w:rsidR="00096BDF" w:rsidRDefault="00096BDF" w:rsidP="00096BDF">
      <w:pPr>
        <w:spacing w:after="60"/>
      </w:pPr>
      <w:r>
        <w:rPr>
          <w:b/>
        </w:rPr>
        <w:t>Table 6</w:t>
      </w:r>
      <w:r w:rsidRPr="00C636BA">
        <w:rPr>
          <w:b/>
        </w:rPr>
        <w:t>.</w:t>
      </w:r>
      <w:r>
        <w:t xml:space="preserve"> Proposed Measure Parameter Methodology and Sources</w:t>
      </w:r>
    </w:p>
    <w:tbl>
      <w:tblPr>
        <w:tblStyle w:val="TableGrid"/>
        <w:tblW w:w="9175"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6" w:space="0" w:color="4BACC6" w:themeColor="accent5"/>
          <w:insideV w:val="single" w:sz="6" w:space="0" w:color="4BACC6" w:themeColor="accent5"/>
        </w:tblBorders>
        <w:tblLook w:val="04A0"/>
      </w:tblPr>
      <w:tblGrid>
        <w:gridCol w:w="1795"/>
        <w:gridCol w:w="1461"/>
        <w:gridCol w:w="2047"/>
        <w:gridCol w:w="2061"/>
        <w:gridCol w:w="1811"/>
      </w:tblGrid>
      <w:tr w:rsidR="00BB22C2" w:rsidRPr="00096BDF">
        <w:tc>
          <w:tcPr>
            <w:tcW w:w="1795" w:type="dxa"/>
            <w:shd w:val="clear" w:color="auto" w:fill="DAEEF3" w:themeFill="accent5" w:themeFillTint="33"/>
            <w:vAlign w:val="center"/>
          </w:tcPr>
          <w:p w:rsidR="00BB22C2" w:rsidRPr="00096BDF" w:rsidRDefault="00BB22C2" w:rsidP="00096BDF">
            <w:pPr>
              <w:jc w:val="center"/>
              <w:rPr>
                <w:b/>
                <w:sz w:val="20"/>
                <w:szCs w:val="20"/>
              </w:rPr>
            </w:pPr>
            <w:r w:rsidRPr="00096BDF">
              <w:rPr>
                <w:b/>
                <w:sz w:val="20"/>
                <w:szCs w:val="20"/>
              </w:rPr>
              <w:t>Measure Parameter</w:t>
            </w:r>
          </w:p>
        </w:tc>
        <w:tc>
          <w:tcPr>
            <w:tcW w:w="1461" w:type="dxa"/>
            <w:shd w:val="clear" w:color="auto" w:fill="DAEEF3" w:themeFill="accent5" w:themeFillTint="33"/>
            <w:vAlign w:val="center"/>
          </w:tcPr>
          <w:p w:rsidR="00BB22C2" w:rsidRPr="00096BDF" w:rsidRDefault="002E256D" w:rsidP="00096BDF">
            <w:pPr>
              <w:jc w:val="center"/>
              <w:rPr>
                <w:b/>
                <w:sz w:val="20"/>
                <w:szCs w:val="20"/>
              </w:rPr>
            </w:pPr>
            <w:r w:rsidRPr="00096BDF">
              <w:rPr>
                <w:b/>
                <w:sz w:val="20"/>
                <w:szCs w:val="20"/>
              </w:rPr>
              <w:t>Methodolog</w:t>
            </w:r>
            <w:r w:rsidR="00D767BD" w:rsidRPr="00096BDF">
              <w:rPr>
                <w:b/>
                <w:sz w:val="20"/>
                <w:szCs w:val="20"/>
              </w:rPr>
              <w:t>y</w:t>
            </w:r>
          </w:p>
        </w:tc>
        <w:tc>
          <w:tcPr>
            <w:tcW w:w="2047" w:type="dxa"/>
            <w:shd w:val="clear" w:color="auto" w:fill="DAEEF3" w:themeFill="accent5" w:themeFillTint="33"/>
            <w:vAlign w:val="center"/>
          </w:tcPr>
          <w:p w:rsidR="00BB22C2" w:rsidRPr="00096BDF" w:rsidRDefault="00BB22C2" w:rsidP="00096BDF">
            <w:pPr>
              <w:jc w:val="center"/>
              <w:rPr>
                <w:b/>
                <w:sz w:val="20"/>
                <w:szCs w:val="20"/>
              </w:rPr>
            </w:pPr>
            <w:r w:rsidRPr="00096BDF">
              <w:rPr>
                <w:b/>
                <w:sz w:val="20"/>
                <w:szCs w:val="20"/>
              </w:rPr>
              <w:t>Source Description</w:t>
            </w:r>
            <w:r w:rsidRPr="00096BDF">
              <w:rPr>
                <w:rStyle w:val="FootnoteReference"/>
                <w:b/>
                <w:sz w:val="20"/>
                <w:szCs w:val="20"/>
              </w:rPr>
              <w:footnoteReference w:id="2"/>
            </w:r>
          </w:p>
        </w:tc>
        <w:tc>
          <w:tcPr>
            <w:tcW w:w="2061" w:type="dxa"/>
            <w:shd w:val="clear" w:color="auto" w:fill="DAEEF3" w:themeFill="accent5" w:themeFillTint="33"/>
            <w:vAlign w:val="center"/>
          </w:tcPr>
          <w:p w:rsidR="00BB22C2" w:rsidRPr="00096BDF" w:rsidRDefault="00BB22C2" w:rsidP="00096BDF">
            <w:pPr>
              <w:jc w:val="center"/>
              <w:rPr>
                <w:b/>
                <w:sz w:val="20"/>
                <w:szCs w:val="20"/>
              </w:rPr>
            </w:pPr>
            <w:r w:rsidRPr="00096BDF">
              <w:rPr>
                <w:b/>
                <w:sz w:val="20"/>
                <w:szCs w:val="20"/>
              </w:rPr>
              <w:t>Modification of DEER or reason for not using DEER</w:t>
            </w:r>
          </w:p>
        </w:tc>
        <w:tc>
          <w:tcPr>
            <w:tcW w:w="1811" w:type="dxa"/>
            <w:shd w:val="clear" w:color="auto" w:fill="DAEEF3" w:themeFill="accent5" w:themeFillTint="33"/>
            <w:vAlign w:val="center"/>
          </w:tcPr>
          <w:p w:rsidR="00BB22C2" w:rsidRPr="00096BDF" w:rsidRDefault="00BB22C2" w:rsidP="00096BDF">
            <w:pPr>
              <w:jc w:val="center"/>
              <w:rPr>
                <w:b/>
                <w:sz w:val="20"/>
                <w:szCs w:val="20"/>
              </w:rPr>
            </w:pPr>
            <w:r w:rsidRPr="00096BDF">
              <w:rPr>
                <w:b/>
                <w:sz w:val="20"/>
                <w:szCs w:val="20"/>
              </w:rPr>
              <w:t xml:space="preserve">Confidence Level </w:t>
            </w:r>
          </w:p>
          <w:p w:rsidR="00BB22C2" w:rsidRPr="00096BDF" w:rsidRDefault="00BB22C2" w:rsidP="00096BDF">
            <w:pPr>
              <w:jc w:val="center"/>
              <w:rPr>
                <w:b/>
                <w:sz w:val="20"/>
                <w:szCs w:val="20"/>
              </w:rPr>
            </w:pPr>
            <w:r w:rsidRPr="00096BDF">
              <w:rPr>
                <w:b/>
                <w:sz w:val="20"/>
                <w:szCs w:val="20"/>
              </w:rPr>
              <w:t>(High, Medium, Low)</w:t>
            </w:r>
          </w:p>
        </w:tc>
      </w:tr>
      <w:tr w:rsidR="00BB22C2" w:rsidRPr="00AD2324">
        <w:tc>
          <w:tcPr>
            <w:tcW w:w="1795" w:type="dxa"/>
            <w:vAlign w:val="center"/>
          </w:tcPr>
          <w:p w:rsidR="00BB22C2" w:rsidRPr="00AD2324" w:rsidRDefault="00BB22C2" w:rsidP="00096BDF">
            <w:pPr>
              <w:jc w:val="center"/>
              <w:rPr>
                <w:sz w:val="20"/>
                <w:szCs w:val="20"/>
              </w:rPr>
            </w:pPr>
            <w:r w:rsidRPr="00AD2324">
              <w:rPr>
                <w:sz w:val="20"/>
                <w:szCs w:val="20"/>
              </w:rPr>
              <w:t>Savings – kWh</w:t>
            </w:r>
          </w:p>
        </w:tc>
        <w:tc>
          <w:tcPr>
            <w:tcW w:w="1461" w:type="dxa"/>
          </w:tcPr>
          <w:p w:rsidR="00BB22C2" w:rsidRPr="00AD2324" w:rsidRDefault="00BB22C2" w:rsidP="00096BDF">
            <w:pPr>
              <w:jc w:val="center"/>
              <w:rPr>
                <w:sz w:val="20"/>
                <w:szCs w:val="20"/>
              </w:rPr>
            </w:pPr>
          </w:p>
        </w:tc>
        <w:tc>
          <w:tcPr>
            <w:tcW w:w="2047" w:type="dxa"/>
            <w:vAlign w:val="center"/>
          </w:tcPr>
          <w:p w:rsidR="00BB22C2" w:rsidRPr="00AD2324" w:rsidRDefault="008257F2" w:rsidP="008257F2">
            <w:pPr>
              <w:jc w:val="center"/>
              <w:rPr>
                <w:sz w:val="20"/>
                <w:szCs w:val="20"/>
              </w:rPr>
            </w:pPr>
            <w:r>
              <w:rPr>
                <w:sz w:val="20"/>
                <w:szCs w:val="20"/>
              </w:rPr>
              <w:t>Either of 2 methodologies described above</w:t>
            </w:r>
          </w:p>
        </w:tc>
        <w:tc>
          <w:tcPr>
            <w:tcW w:w="2061" w:type="dxa"/>
            <w:vAlign w:val="center"/>
          </w:tcPr>
          <w:p w:rsidR="00BB22C2" w:rsidRPr="00AD2324" w:rsidRDefault="00BB22C2" w:rsidP="00096BDF">
            <w:pPr>
              <w:jc w:val="center"/>
              <w:rPr>
                <w:sz w:val="20"/>
                <w:szCs w:val="20"/>
              </w:rPr>
            </w:pPr>
          </w:p>
        </w:tc>
        <w:tc>
          <w:tcPr>
            <w:tcW w:w="1811" w:type="dxa"/>
          </w:tcPr>
          <w:p w:rsidR="00BB22C2" w:rsidRPr="00AD2324" w:rsidRDefault="008257F2" w:rsidP="00096BDF">
            <w:pPr>
              <w:jc w:val="center"/>
              <w:rPr>
                <w:sz w:val="20"/>
                <w:szCs w:val="20"/>
              </w:rPr>
            </w:pPr>
            <w:r>
              <w:rPr>
                <w:sz w:val="20"/>
                <w:szCs w:val="20"/>
              </w:rPr>
              <w:t>Medium</w:t>
            </w:r>
          </w:p>
        </w:tc>
      </w:tr>
      <w:tr w:rsidR="00BB22C2" w:rsidRPr="00AD2324">
        <w:tc>
          <w:tcPr>
            <w:tcW w:w="1795" w:type="dxa"/>
            <w:shd w:val="clear" w:color="auto" w:fill="DAEEF3" w:themeFill="accent5" w:themeFillTint="33"/>
            <w:vAlign w:val="center"/>
          </w:tcPr>
          <w:p w:rsidR="00BB22C2" w:rsidRPr="00AD2324" w:rsidRDefault="00BB22C2" w:rsidP="00096BDF">
            <w:pPr>
              <w:jc w:val="center"/>
              <w:rPr>
                <w:sz w:val="20"/>
                <w:szCs w:val="20"/>
              </w:rPr>
            </w:pPr>
            <w:r w:rsidRPr="00AD2324">
              <w:rPr>
                <w:sz w:val="20"/>
                <w:szCs w:val="20"/>
              </w:rPr>
              <w:t>Savings – kW</w:t>
            </w:r>
          </w:p>
        </w:tc>
        <w:tc>
          <w:tcPr>
            <w:tcW w:w="1461" w:type="dxa"/>
            <w:shd w:val="clear" w:color="auto" w:fill="DAEEF3" w:themeFill="accent5" w:themeFillTint="33"/>
          </w:tcPr>
          <w:p w:rsidR="00BB22C2" w:rsidRPr="00AD2324" w:rsidRDefault="00BB22C2" w:rsidP="00096BDF">
            <w:pPr>
              <w:jc w:val="center"/>
              <w:rPr>
                <w:sz w:val="20"/>
                <w:szCs w:val="20"/>
              </w:rPr>
            </w:pPr>
          </w:p>
        </w:tc>
        <w:tc>
          <w:tcPr>
            <w:tcW w:w="2047" w:type="dxa"/>
            <w:shd w:val="clear" w:color="auto" w:fill="DAEEF3" w:themeFill="accent5" w:themeFillTint="33"/>
            <w:vAlign w:val="center"/>
          </w:tcPr>
          <w:p w:rsidR="00BB22C2" w:rsidRPr="00AD2324" w:rsidRDefault="008257F2" w:rsidP="00096BDF">
            <w:pPr>
              <w:jc w:val="center"/>
              <w:rPr>
                <w:sz w:val="20"/>
                <w:szCs w:val="20"/>
              </w:rPr>
            </w:pPr>
            <w:r>
              <w:rPr>
                <w:sz w:val="20"/>
                <w:szCs w:val="20"/>
              </w:rPr>
              <w:t>See above</w:t>
            </w:r>
          </w:p>
        </w:tc>
        <w:tc>
          <w:tcPr>
            <w:tcW w:w="2061" w:type="dxa"/>
            <w:shd w:val="clear" w:color="auto" w:fill="DAEEF3" w:themeFill="accent5" w:themeFillTint="33"/>
            <w:vAlign w:val="center"/>
          </w:tcPr>
          <w:p w:rsidR="00BB22C2" w:rsidRPr="00AD2324" w:rsidRDefault="00BB22C2" w:rsidP="00096BDF">
            <w:pPr>
              <w:jc w:val="center"/>
              <w:rPr>
                <w:sz w:val="20"/>
                <w:szCs w:val="20"/>
              </w:rPr>
            </w:pPr>
          </w:p>
        </w:tc>
        <w:tc>
          <w:tcPr>
            <w:tcW w:w="1811" w:type="dxa"/>
            <w:shd w:val="clear" w:color="auto" w:fill="DAEEF3" w:themeFill="accent5" w:themeFillTint="33"/>
          </w:tcPr>
          <w:p w:rsidR="00BB22C2" w:rsidRPr="00AD2324" w:rsidRDefault="008257F2" w:rsidP="00096BDF">
            <w:pPr>
              <w:jc w:val="center"/>
              <w:rPr>
                <w:sz w:val="20"/>
                <w:szCs w:val="20"/>
              </w:rPr>
            </w:pPr>
            <w:r>
              <w:rPr>
                <w:sz w:val="20"/>
                <w:szCs w:val="20"/>
              </w:rPr>
              <w:t>Medium</w:t>
            </w:r>
          </w:p>
        </w:tc>
      </w:tr>
      <w:tr w:rsidR="00BB22C2" w:rsidRPr="00AD2324">
        <w:tc>
          <w:tcPr>
            <w:tcW w:w="1795" w:type="dxa"/>
            <w:vAlign w:val="center"/>
          </w:tcPr>
          <w:p w:rsidR="00BB22C2" w:rsidRPr="00AD2324" w:rsidRDefault="00BB22C2" w:rsidP="00096BDF">
            <w:pPr>
              <w:jc w:val="center"/>
              <w:rPr>
                <w:sz w:val="20"/>
                <w:szCs w:val="20"/>
              </w:rPr>
            </w:pPr>
            <w:r w:rsidRPr="00AD2324">
              <w:rPr>
                <w:sz w:val="20"/>
                <w:szCs w:val="20"/>
              </w:rPr>
              <w:t>Savings – therm</w:t>
            </w:r>
          </w:p>
        </w:tc>
        <w:tc>
          <w:tcPr>
            <w:tcW w:w="1461" w:type="dxa"/>
          </w:tcPr>
          <w:p w:rsidR="00BB22C2" w:rsidRPr="00AD2324" w:rsidRDefault="00BB22C2" w:rsidP="00096BDF">
            <w:pPr>
              <w:jc w:val="center"/>
              <w:rPr>
                <w:sz w:val="20"/>
                <w:szCs w:val="20"/>
              </w:rPr>
            </w:pPr>
          </w:p>
        </w:tc>
        <w:tc>
          <w:tcPr>
            <w:tcW w:w="2047" w:type="dxa"/>
            <w:vAlign w:val="center"/>
          </w:tcPr>
          <w:p w:rsidR="00BB22C2" w:rsidRPr="00AD2324" w:rsidRDefault="008257F2" w:rsidP="00096BDF">
            <w:pPr>
              <w:jc w:val="center"/>
              <w:rPr>
                <w:sz w:val="20"/>
                <w:szCs w:val="20"/>
              </w:rPr>
            </w:pPr>
            <w:r>
              <w:rPr>
                <w:sz w:val="20"/>
                <w:szCs w:val="20"/>
              </w:rPr>
              <w:t>ED Lighting I.E.</w:t>
            </w:r>
          </w:p>
        </w:tc>
        <w:tc>
          <w:tcPr>
            <w:tcW w:w="2061" w:type="dxa"/>
            <w:vAlign w:val="center"/>
          </w:tcPr>
          <w:p w:rsidR="00BB22C2" w:rsidRPr="00AD2324" w:rsidRDefault="00BB22C2" w:rsidP="00096BDF">
            <w:pPr>
              <w:jc w:val="center"/>
              <w:rPr>
                <w:sz w:val="20"/>
                <w:szCs w:val="20"/>
              </w:rPr>
            </w:pPr>
          </w:p>
        </w:tc>
        <w:tc>
          <w:tcPr>
            <w:tcW w:w="1811" w:type="dxa"/>
          </w:tcPr>
          <w:p w:rsidR="00BB22C2" w:rsidRPr="00AD2324" w:rsidRDefault="008257F2" w:rsidP="00096BDF">
            <w:pPr>
              <w:jc w:val="center"/>
              <w:rPr>
                <w:sz w:val="20"/>
                <w:szCs w:val="20"/>
              </w:rPr>
            </w:pPr>
            <w:r>
              <w:rPr>
                <w:sz w:val="20"/>
                <w:szCs w:val="20"/>
              </w:rPr>
              <w:t>High</w:t>
            </w:r>
          </w:p>
        </w:tc>
      </w:tr>
      <w:tr w:rsidR="00BB22C2" w:rsidRPr="00AD2324">
        <w:tc>
          <w:tcPr>
            <w:tcW w:w="1795" w:type="dxa"/>
            <w:shd w:val="clear" w:color="auto" w:fill="DAEEF3" w:themeFill="accent5" w:themeFillTint="33"/>
            <w:vAlign w:val="center"/>
          </w:tcPr>
          <w:p w:rsidR="00BB22C2" w:rsidRPr="00AD2324" w:rsidRDefault="00BB22C2" w:rsidP="00096BDF">
            <w:pPr>
              <w:jc w:val="center"/>
              <w:rPr>
                <w:sz w:val="20"/>
                <w:szCs w:val="20"/>
              </w:rPr>
            </w:pPr>
            <w:r w:rsidRPr="00AD2324">
              <w:rPr>
                <w:sz w:val="20"/>
                <w:szCs w:val="20"/>
              </w:rPr>
              <w:t>EUL or RUL</w:t>
            </w:r>
          </w:p>
        </w:tc>
        <w:tc>
          <w:tcPr>
            <w:tcW w:w="1461" w:type="dxa"/>
            <w:shd w:val="clear" w:color="auto" w:fill="DAEEF3" w:themeFill="accent5" w:themeFillTint="33"/>
          </w:tcPr>
          <w:p w:rsidR="00BB22C2" w:rsidRPr="00AD2324" w:rsidRDefault="00BB22C2" w:rsidP="00096BDF">
            <w:pPr>
              <w:jc w:val="center"/>
              <w:rPr>
                <w:sz w:val="20"/>
                <w:szCs w:val="20"/>
              </w:rPr>
            </w:pPr>
          </w:p>
        </w:tc>
        <w:tc>
          <w:tcPr>
            <w:tcW w:w="2047" w:type="dxa"/>
            <w:shd w:val="clear" w:color="auto" w:fill="DAEEF3" w:themeFill="accent5" w:themeFillTint="33"/>
            <w:vAlign w:val="center"/>
          </w:tcPr>
          <w:p w:rsidR="00BB22C2" w:rsidRPr="00AD2324" w:rsidRDefault="008257F2" w:rsidP="00096BDF">
            <w:pPr>
              <w:jc w:val="center"/>
              <w:rPr>
                <w:sz w:val="20"/>
                <w:szCs w:val="20"/>
              </w:rPr>
            </w:pPr>
            <w:r>
              <w:rPr>
                <w:sz w:val="20"/>
                <w:szCs w:val="20"/>
              </w:rPr>
              <w:t>DEER</w:t>
            </w:r>
          </w:p>
        </w:tc>
        <w:tc>
          <w:tcPr>
            <w:tcW w:w="2061" w:type="dxa"/>
            <w:shd w:val="clear" w:color="auto" w:fill="DAEEF3" w:themeFill="accent5" w:themeFillTint="33"/>
            <w:vAlign w:val="center"/>
          </w:tcPr>
          <w:p w:rsidR="00BB22C2" w:rsidRPr="00AD2324" w:rsidRDefault="00BB22C2" w:rsidP="00096BDF">
            <w:pPr>
              <w:jc w:val="center"/>
              <w:rPr>
                <w:sz w:val="20"/>
                <w:szCs w:val="20"/>
              </w:rPr>
            </w:pPr>
          </w:p>
        </w:tc>
        <w:tc>
          <w:tcPr>
            <w:tcW w:w="1811" w:type="dxa"/>
            <w:shd w:val="clear" w:color="auto" w:fill="DAEEF3" w:themeFill="accent5" w:themeFillTint="33"/>
          </w:tcPr>
          <w:p w:rsidR="00BB22C2" w:rsidRPr="00AD2324" w:rsidRDefault="008257F2" w:rsidP="00096BDF">
            <w:pPr>
              <w:jc w:val="center"/>
              <w:rPr>
                <w:sz w:val="20"/>
                <w:szCs w:val="20"/>
              </w:rPr>
            </w:pPr>
            <w:r>
              <w:rPr>
                <w:sz w:val="20"/>
                <w:szCs w:val="20"/>
              </w:rPr>
              <w:t>High</w:t>
            </w:r>
          </w:p>
        </w:tc>
      </w:tr>
      <w:tr w:rsidR="00BB22C2" w:rsidRPr="00AD2324">
        <w:tc>
          <w:tcPr>
            <w:tcW w:w="1795" w:type="dxa"/>
            <w:vAlign w:val="center"/>
          </w:tcPr>
          <w:p w:rsidR="00BB22C2" w:rsidRPr="00AD2324" w:rsidRDefault="00BB22C2" w:rsidP="00096BDF">
            <w:pPr>
              <w:jc w:val="center"/>
              <w:rPr>
                <w:sz w:val="20"/>
                <w:szCs w:val="20"/>
              </w:rPr>
            </w:pPr>
            <w:r w:rsidRPr="00AD2324">
              <w:rPr>
                <w:sz w:val="20"/>
                <w:szCs w:val="20"/>
              </w:rPr>
              <w:t>MC or IMC</w:t>
            </w:r>
          </w:p>
        </w:tc>
        <w:tc>
          <w:tcPr>
            <w:tcW w:w="1461" w:type="dxa"/>
          </w:tcPr>
          <w:p w:rsidR="00BB22C2" w:rsidRPr="00AD2324" w:rsidRDefault="00BB22C2" w:rsidP="00096BDF">
            <w:pPr>
              <w:jc w:val="center"/>
              <w:rPr>
                <w:sz w:val="20"/>
                <w:szCs w:val="20"/>
              </w:rPr>
            </w:pPr>
          </w:p>
        </w:tc>
        <w:tc>
          <w:tcPr>
            <w:tcW w:w="2047" w:type="dxa"/>
            <w:vAlign w:val="center"/>
          </w:tcPr>
          <w:p w:rsidR="00BB22C2" w:rsidRPr="00AD2324" w:rsidRDefault="008257F2" w:rsidP="00096BDF">
            <w:pPr>
              <w:jc w:val="center"/>
              <w:rPr>
                <w:sz w:val="20"/>
                <w:szCs w:val="20"/>
              </w:rPr>
            </w:pPr>
            <w:r>
              <w:rPr>
                <w:sz w:val="20"/>
                <w:szCs w:val="20"/>
              </w:rPr>
              <w:t>Survey</w:t>
            </w:r>
          </w:p>
        </w:tc>
        <w:tc>
          <w:tcPr>
            <w:tcW w:w="2061" w:type="dxa"/>
            <w:vAlign w:val="center"/>
          </w:tcPr>
          <w:p w:rsidR="00BB22C2" w:rsidRPr="00AD2324" w:rsidRDefault="00BB22C2" w:rsidP="00096BDF">
            <w:pPr>
              <w:jc w:val="center"/>
              <w:rPr>
                <w:sz w:val="20"/>
                <w:szCs w:val="20"/>
              </w:rPr>
            </w:pPr>
          </w:p>
        </w:tc>
        <w:tc>
          <w:tcPr>
            <w:tcW w:w="1811" w:type="dxa"/>
          </w:tcPr>
          <w:p w:rsidR="00BB22C2" w:rsidRPr="00AD2324" w:rsidRDefault="008257F2" w:rsidP="00096BDF">
            <w:pPr>
              <w:jc w:val="center"/>
              <w:rPr>
                <w:sz w:val="20"/>
                <w:szCs w:val="20"/>
              </w:rPr>
            </w:pPr>
            <w:r>
              <w:rPr>
                <w:sz w:val="20"/>
                <w:szCs w:val="20"/>
              </w:rPr>
              <w:t>High</w:t>
            </w:r>
          </w:p>
        </w:tc>
      </w:tr>
      <w:tr w:rsidR="00BB22C2" w:rsidRPr="00AD2324">
        <w:tc>
          <w:tcPr>
            <w:tcW w:w="1795" w:type="dxa"/>
            <w:shd w:val="clear" w:color="auto" w:fill="DAEEF3" w:themeFill="accent5" w:themeFillTint="33"/>
            <w:vAlign w:val="center"/>
          </w:tcPr>
          <w:p w:rsidR="00BB22C2" w:rsidRPr="00AD2324" w:rsidRDefault="00BB22C2" w:rsidP="00096BDF">
            <w:pPr>
              <w:jc w:val="center"/>
              <w:rPr>
                <w:sz w:val="20"/>
                <w:szCs w:val="20"/>
              </w:rPr>
            </w:pPr>
            <w:r w:rsidRPr="00AD2324">
              <w:rPr>
                <w:sz w:val="20"/>
                <w:szCs w:val="20"/>
              </w:rPr>
              <w:t>NTG</w:t>
            </w:r>
          </w:p>
        </w:tc>
        <w:tc>
          <w:tcPr>
            <w:tcW w:w="1461" w:type="dxa"/>
            <w:shd w:val="clear" w:color="auto" w:fill="DAEEF3" w:themeFill="accent5" w:themeFillTint="33"/>
          </w:tcPr>
          <w:p w:rsidR="00BB22C2" w:rsidRPr="00AD2324" w:rsidRDefault="00BB22C2" w:rsidP="00096BDF">
            <w:pPr>
              <w:jc w:val="center"/>
              <w:rPr>
                <w:sz w:val="20"/>
                <w:szCs w:val="20"/>
              </w:rPr>
            </w:pPr>
          </w:p>
        </w:tc>
        <w:tc>
          <w:tcPr>
            <w:tcW w:w="2047" w:type="dxa"/>
            <w:shd w:val="clear" w:color="auto" w:fill="DAEEF3" w:themeFill="accent5" w:themeFillTint="33"/>
            <w:vAlign w:val="center"/>
          </w:tcPr>
          <w:p w:rsidR="00BB22C2" w:rsidRPr="00AD2324" w:rsidRDefault="008257F2" w:rsidP="00096BDF">
            <w:pPr>
              <w:jc w:val="center"/>
              <w:rPr>
                <w:sz w:val="20"/>
                <w:szCs w:val="20"/>
              </w:rPr>
            </w:pPr>
            <w:r>
              <w:rPr>
                <w:sz w:val="20"/>
                <w:szCs w:val="20"/>
              </w:rPr>
              <w:t>DEER</w:t>
            </w:r>
          </w:p>
        </w:tc>
        <w:tc>
          <w:tcPr>
            <w:tcW w:w="2061" w:type="dxa"/>
            <w:shd w:val="clear" w:color="auto" w:fill="DAEEF3" w:themeFill="accent5" w:themeFillTint="33"/>
            <w:vAlign w:val="center"/>
          </w:tcPr>
          <w:p w:rsidR="00BB22C2" w:rsidRPr="00AD2324" w:rsidRDefault="00BB22C2" w:rsidP="00096BDF">
            <w:pPr>
              <w:jc w:val="center"/>
              <w:rPr>
                <w:sz w:val="20"/>
                <w:szCs w:val="20"/>
              </w:rPr>
            </w:pPr>
          </w:p>
        </w:tc>
        <w:tc>
          <w:tcPr>
            <w:tcW w:w="1811" w:type="dxa"/>
            <w:shd w:val="clear" w:color="auto" w:fill="DAEEF3" w:themeFill="accent5" w:themeFillTint="33"/>
          </w:tcPr>
          <w:p w:rsidR="00BB22C2" w:rsidRPr="00AD2324" w:rsidRDefault="008257F2" w:rsidP="00096BDF">
            <w:pPr>
              <w:jc w:val="center"/>
              <w:rPr>
                <w:sz w:val="20"/>
                <w:szCs w:val="20"/>
              </w:rPr>
            </w:pPr>
            <w:r>
              <w:rPr>
                <w:sz w:val="20"/>
                <w:szCs w:val="20"/>
              </w:rPr>
              <w:t>High</w:t>
            </w:r>
          </w:p>
        </w:tc>
      </w:tr>
    </w:tbl>
    <w:p w:rsidR="00BB22C2" w:rsidRDefault="00BB22C2" w:rsidP="00096BDF"/>
    <w:p w:rsidR="009F2336" w:rsidRDefault="009F2336" w:rsidP="00D767BD">
      <w:pPr>
        <w:pStyle w:val="Heading1"/>
        <w:numPr>
          <w:ilvl w:val="0"/>
          <w:numId w:val="24"/>
        </w:numPr>
        <w:ind w:left="630" w:hanging="630"/>
      </w:pPr>
      <w:r>
        <w:t>Cal TF Comments on Proposed Measure Parameter Methodology and Sources</w:t>
      </w:r>
    </w:p>
    <w:p w:rsidR="009F2336" w:rsidRDefault="009F2336" w:rsidP="00D767BD">
      <w:pPr>
        <w:rPr>
          <w:i/>
          <w:color w:val="FF0000"/>
        </w:rPr>
      </w:pPr>
      <w:r w:rsidRPr="00AD2324">
        <w:rPr>
          <w:i/>
          <w:color w:val="FF0000"/>
        </w:rPr>
        <w:t xml:space="preserve">Cal </w:t>
      </w:r>
      <w:r>
        <w:rPr>
          <w:i/>
          <w:color w:val="FF0000"/>
        </w:rPr>
        <w:t>TF comments on proposed methodology and sources</w:t>
      </w:r>
      <w:r w:rsidRPr="00AD2324">
        <w:rPr>
          <w:i/>
          <w:color w:val="FF0000"/>
        </w:rPr>
        <w:t xml:space="preserve">.  Do values represent best available data?  </w:t>
      </w:r>
      <w:r>
        <w:rPr>
          <w:i/>
          <w:color w:val="FF0000"/>
        </w:rPr>
        <w:t>If not, what are alternate method</w:t>
      </w:r>
      <w:r w:rsidRPr="00AD2324">
        <w:rPr>
          <w:i/>
          <w:color w:val="FF0000"/>
        </w:rPr>
        <w:t>s/sources that should be considered?</w:t>
      </w:r>
    </w:p>
    <w:p w:rsidR="009F2336" w:rsidRDefault="009F2336" w:rsidP="009F2336">
      <w:pPr>
        <w:rPr>
          <w:i/>
          <w:color w:val="FF0000"/>
        </w:rPr>
      </w:pPr>
    </w:p>
    <w:p w:rsidR="00096BDF" w:rsidRDefault="00096BDF" w:rsidP="00096BDF">
      <w:pPr>
        <w:spacing w:after="60"/>
      </w:pPr>
      <w:r>
        <w:rPr>
          <w:b/>
        </w:rPr>
        <w:t>Table 7</w:t>
      </w:r>
      <w:r w:rsidRPr="00C636BA">
        <w:rPr>
          <w:b/>
        </w:rPr>
        <w:t>.</w:t>
      </w:r>
      <w:r>
        <w:t xml:space="preserve"> Cal TF Comments on Measure Parameter Methodology and Sources</w:t>
      </w:r>
    </w:p>
    <w:tbl>
      <w:tblPr>
        <w:tblStyle w:val="TableGrid"/>
        <w:tblW w:w="8995"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6" w:space="0" w:color="4BACC6" w:themeColor="accent5"/>
          <w:insideV w:val="single" w:sz="6" w:space="0" w:color="4BACC6" w:themeColor="accent5"/>
        </w:tblBorders>
        <w:tblLook w:val="04A0"/>
      </w:tblPr>
      <w:tblGrid>
        <w:gridCol w:w="2022"/>
        <w:gridCol w:w="3193"/>
        <w:gridCol w:w="3780"/>
      </w:tblGrid>
      <w:tr w:rsidR="009F2336" w:rsidRPr="00096BDF">
        <w:tc>
          <w:tcPr>
            <w:tcW w:w="2022" w:type="dxa"/>
            <w:shd w:val="clear" w:color="auto" w:fill="DAEEF3" w:themeFill="accent5" w:themeFillTint="33"/>
            <w:vAlign w:val="center"/>
          </w:tcPr>
          <w:p w:rsidR="009F2336" w:rsidRPr="00096BDF" w:rsidRDefault="009F2336" w:rsidP="00096BDF">
            <w:pPr>
              <w:jc w:val="center"/>
              <w:rPr>
                <w:b/>
                <w:sz w:val="20"/>
                <w:szCs w:val="20"/>
              </w:rPr>
            </w:pPr>
            <w:r w:rsidRPr="00096BDF">
              <w:rPr>
                <w:b/>
                <w:sz w:val="20"/>
                <w:szCs w:val="20"/>
              </w:rPr>
              <w:t>Measure Parameter</w:t>
            </w:r>
          </w:p>
        </w:tc>
        <w:tc>
          <w:tcPr>
            <w:tcW w:w="3193" w:type="dxa"/>
            <w:shd w:val="clear" w:color="auto" w:fill="DAEEF3" w:themeFill="accent5" w:themeFillTint="33"/>
          </w:tcPr>
          <w:p w:rsidR="009F2336" w:rsidRPr="00096BDF" w:rsidRDefault="009F2336" w:rsidP="00096BDF">
            <w:pPr>
              <w:jc w:val="center"/>
              <w:rPr>
                <w:b/>
                <w:sz w:val="20"/>
                <w:szCs w:val="20"/>
              </w:rPr>
            </w:pPr>
            <w:r w:rsidRPr="00096BDF">
              <w:rPr>
                <w:b/>
                <w:sz w:val="20"/>
                <w:szCs w:val="20"/>
              </w:rPr>
              <w:t>Cal TF Comments on</w:t>
            </w:r>
          </w:p>
          <w:p w:rsidR="009F2336" w:rsidRPr="00096BDF" w:rsidRDefault="009F2336" w:rsidP="00096BDF">
            <w:pPr>
              <w:jc w:val="center"/>
              <w:rPr>
                <w:b/>
                <w:sz w:val="20"/>
                <w:szCs w:val="20"/>
              </w:rPr>
            </w:pPr>
            <w:r w:rsidRPr="00096BDF">
              <w:rPr>
                <w:b/>
                <w:sz w:val="20"/>
                <w:szCs w:val="20"/>
              </w:rPr>
              <w:t>Proposed Data/Source</w:t>
            </w:r>
          </w:p>
        </w:tc>
        <w:tc>
          <w:tcPr>
            <w:tcW w:w="3780" w:type="dxa"/>
            <w:shd w:val="clear" w:color="auto" w:fill="DAEEF3" w:themeFill="accent5" w:themeFillTint="33"/>
            <w:vAlign w:val="center"/>
          </w:tcPr>
          <w:p w:rsidR="009F2336" w:rsidRPr="00096BDF" w:rsidRDefault="009F2336" w:rsidP="00096BDF">
            <w:pPr>
              <w:jc w:val="center"/>
              <w:rPr>
                <w:b/>
                <w:sz w:val="20"/>
                <w:szCs w:val="20"/>
              </w:rPr>
            </w:pPr>
            <w:r w:rsidRPr="00096BDF">
              <w:rPr>
                <w:b/>
                <w:sz w:val="20"/>
                <w:szCs w:val="20"/>
              </w:rPr>
              <w:t>Cal TF Recommendation(s) on Alternate Sources to Consider</w:t>
            </w:r>
          </w:p>
        </w:tc>
      </w:tr>
      <w:tr w:rsidR="009F2336" w:rsidRPr="00AD2324">
        <w:tc>
          <w:tcPr>
            <w:tcW w:w="2022" w:type="dxa"/>
            <w:vAlign w:val="center"/>
          </w:tcPr>
          <w:p w:rsidR="009F2336" w:rsidRPr="00AD2324" w:rsidRDefault="009F2336" w:rsidP="00096BDF">
            <w:pPr>
              <w:jc w:val="center"/>
              <w:rPr>
                <w:sz w:val="20"/>
                <w:szCs w:val="20"/>
              </w:rPr>
            </w:pPr>
            <w:r w:rsidRPr="00AD2324">
              <w:rPr>
                <w:sz w:val="20"/>
                <w:szCs w:val="20"/>
              </w:rPr>
              <w:t>Savings – kWh</w:t>
            </w:r>
          </w:p>
        </w:tc>
        <w:tc>
          <w:tcPr>
            <w:tcW w:w="3193" w:type="dxa"/>
          </w:tcPr>
          <w:p w:rsidR="009F2336" w:rsidRPr="00AD2324" w:rsidRDefault="009F2336" w:rsidP="00096BDF">
            <w:pPr>
              <w:jc w:val="center"/>
              <w:rPr>
                <w:sz w:val="20"/>
                <w:szCs w:val="20"/>
              </w:rPr>
            </w:pPr>
          </w:p>
        </w:tc>
        <w:tc>
          <w:tcPr>
            <w:tcW w:w="3780" w:type="dxa"/>
            <w:vAlign w:val="center"/>
          </w:tcPr>
          <w:p w:rsidR="009F2336" w:rsidRPr="00AD2324" w:rsidRDefault="009F2336" w:rsidP="00096BDF">
            <w:pPr>
              <w:jc w:val="center"/>
              <w:rPr>
                <w:sz w:val="20"/>
                <w:szCs w:val="20"/>
              </w:rPr>
            </w:pPr>
          </w:p>
        </w:tc>
      </w:tr>
      <w:tr w:rsidR="009F2336" w:rsidRPr="00AD2324">
        <w:tc>
          <w:tcPr>
            <w:tcW w:w="2022" w:type="dxa"/>
            <w:shd w:val="clear" w:color="auto" w:fill="DAEEF3" w:themeFill="accent5" w:themeFillTint="33"/>
            <w:vAlign w:val="center"/>
          </w:tcPr>
          <w:p w:rsidR="009F2336" w:rsidRPr="00AD2324" w:rsidRDefault="009F2336" w:rsidP="00096BDF">
            <w:pPr>
              <w:jc w:val="center"/>
              <w:rPr>
                <w:sz w:val="20"/>
                <w:szCs w:val="20"/>
              </w:rPr>
            </w:pPr>
            <w:r w:rsidRPr="00AD2324">
              <w:rPr>
                <w:sz w:val="20"/>
                <w:szCs w:val="20"/>
              </w:rPr>
              <w:t>Savings – kW</w:t>
            </w:r>
          </w:p>
        </w:tc>
        <w:tc>
          <w:tcPr>
            <w:tcW w:w="3193" w:type="dxa"/>
            <w:shd w:val="clear" w:color="auto" w:fill="DAEEF3" w:themeFill="accent5" w:themeFillTint="33"/>
          </w:tcPr>
          <w:p w:rsidR="009F2336" w:rsidRPr="00AD2324" w:rsidRDefault="009F2336" w:rsidP="00096BDF">
            <w:pPr>
              <w:jc w:val="center"/>
              <w:rPr>
                <w:sz w:val="20"/>
                <w:szCs w:val="20"/>
              </w:rPr>
            </w:pPr>
          </w:p>
        </w:tc>
        <w:tc>
          <w:tcPr>
            <w:tcW w:w="3780" w:type="dxa"/>
            <w:shd w:val="clear" w:color="auto" w:fill="DAEEF3" w:themeFill="accent5" w:themeFillTint="33"/>
            <w:vAlign w:val="center"/>
          </w:tcPr>
          <w:p w:rsidR="009F2336" w:rsidRPr="00AD2324" w:rsidRDefault="009F2336" w:rsidP="00096BDF">
            <w:pPr>
              <w:jc w:val="center"/>
              <w:rPr>
                <w:sz w:val="20"/>
                <w:szCs w:val="20"/>
              </w:rPr>
            </w:pPr>
          </w:p>
        </w:tc>
      </w:tr>
      <w:tr w:rsidR="009F2336" w:rsidRPr="00AD2324">
        <w:tc>
          <w:tcPr>
            <w:tcW w:w="2022" w:type="dxa"/>
            <w:vAlign w:val="center"/>
          </w:tcPr>
          <w:p w:rsidR="009F2336" w:rsidRPr="00AD2324" w:rsidRDefault="009F2336" w:rsidP="00096BDF">
            <w:pPr>
              <w:jc w:val="center"/>
              <w:rPr>
                <w:sz w:val="20"/>
                <w:szCs w:val="20"/>
              </w:rPr>
            </w:pPr>
            <w:r w:rsidRPr="00AD2324">
              <w:rPr>
                <w:sz w:val="20"/>
                <w:szCs w:val="20"/>
              </w:rPr>
              <w:t>Savings – therm</w:t>
            </w:r>
          </w:p>
        </w:tc>
        <w:tc>
          <w:tcPr>
            <w:tcW w:w="3193" w:type="dxa"/>
          </w:tcPr>
          <w:p w:rsidR="009F2336" w:rsidRPr="00AD2324" w:rsidRDefault="009F2336" w:rsidP="00096BDF">
            <w:pPr>
              <w:jc w:val="center"/>
              <w:rPr>
                <w:sz w:val="20"/>
                <w:szCs w:val="20"/>
              </w:rPr>
            </w:pPr>
          </w:p>
        </w:tc>
        <w:tc>
          <w:tcPr>
            <w:tcW w:w="3780" w:type="dxa"/>
            <w:vAlign w:val="center"/>
          </w:tcPr>
          <w:p w:rsidR="009F2336" w:rsidRPr="00AD2324" w:rsidRDefault="009F2336" w:rsidP="00096BDF">
            <w:pPr>
              <w:jc w:val="center"/>
              <w:rPr>
                <w:sz w:val="20"/>
                <w:szCs w:val="20"/>
              </w:rPr>
            </w:pPr>
          </w:p>
        </w:tc>
      </w:tr>
      <w:tr w:rsidR="009F2336" w:rsidRPr="00AD2324">
        <w:tc>
          <w:tcPr>
            <w:tcW w:w="2022" w:type="dxa"/>
            <w:shd w:val="clear" w:color="auto" w:fill="DAEEF3" w:themeFill="accent5" w:themeFillTint="33"/>
            <w:vAlign w:val="center"/>
          </w:tcPr>
          <w:p w:rsidR="009F2336" w:rsidRPr="00AD2324" w:rsidRDefault="009F2336" w:rsidP="00096BDF">
            <w:pPr>
              <w:jc w:val="center"/>
              <w:rPr>
                <w:sz w:val="20"/>
                <w:szCs w:val="20"/>
              </w:rPr>
            </w:pPr>
            <w:r w:rsidRPr="00AD2324">
              <w:rPr>
                <w:sz w:val="20"/>
                <w:szCs w:val="20"/>
              </w:rPr>
              <w:t>EUL or RUL</w:t>
            </w:r>
          </w:p>
        </w:tc>
        <w:tc>
          <w:tcPr>
            <w:tcW w:w="3193" w:type="dxa"/>
            <w:shd w:val="clear" w:color="auto" w:fill="DAEEF3" w:themeFill="accent5" w:themeFillTint="33"/>
          </w:tcPr>
          <w:p w:rsidR="009F2336" w:rsidRPr="00AD2324" w:rsidRDefault="009F2336" w:rsidP="00096BDF">
            <w:pPr>
              <w:jc w:val="center"/>
              <w:rPr>
                <w:sz w:val="20"/>
                <w:szCs w:val="20"/>
              </w:rPr>
            </w:pPr>
          </w:p>
        </w:tc>
        <w:tc>
          <w:tcPr>
            <w:tcW w:w="3780" w:type="dxa"/>
            <w:shd w:val="clear" w:color="auto" w:fill="DAEEF3" w:themeFill="accent5" w:themeFillTint="33"/>
            <w:vAlign w:val="center"/>
          </w:tcPr>
          <w:p w:rsidR="009F2336" w:rsidRPr="00AD2324" w:rsidRDefault="009F2336" w:rsidP="00096BDF">
            <w:pPr>
              <w:jc w:val="center"/>
              <w:rPr>
                <w:sz w:val="20"/>
                <w:szCs w:val="20"/>
              </w:rPr>
            </w:pPr>
          </w:p>
        </w:tc>
      </w:tr>
      <w:tr w:rsidR="009F2336" w:rsidRPr="00AD2324">
        <w:tc>
          <w:tcPr>
            <w:tcW w:w="2022" w:type="dxa"/>
            <w:vAlign w:val="center"/>
          </w:tcPr>
          <w:p w:rsidR="009F2336" w:rsidRPr="00AD2324" w:rsidRDefault="009F2336" w:rsidP="00096BDF">
            <w:pPr>
              <w:jc w:val="center"/>
              <w:rPr>
                <w:sz w:val="20"/>
                <w:szCs w:val="20"/>
              </w:rPr>
            </w:pPr>
            <w:r w:rsidRPr="00AD2324">
              <w:rPr>
                <w:sz w:val="20"/>
                <w:szCs w:val="20"/>
              </w:rPr>
              <w:t>MC or IMC</w:t>
            </w:r>
          </w:p>
        </w:tc>
        <w:tc>
          <w:tcPr>
            <w:tcW w:w="3193" w:type="dxa"/>
          </w:tcPr>
          <w:p w:rsidR="009F2336" w:rsidRPr="00AD2324" w:rsidRDefault="009F2336" w:rsidP="00096BDF">
            <w:pPr>
              <w:jc w:val="center"/>
              <w:rPr>
                <w:sz w:val="20"/>
                <w:szCs w:val="20"/>
              </w:rPr>
            </w:pPr>
          </w:p>
        </w:tc>
        <w:tc>
          <w:tcPr>
            <w:tcW w:w="3780" w:type="dxa"/>
            <w:vAlign w:val="center"/>
          </w:tcPr>
          <w:p w:rsidR="009F2336" w:rsidRPr="00AD2324" w:rsidRDefault="009F2336" w:rsidP="00096BDF">
            <w:pPr>
              <w:jc w:val="center"/>
              <w:rPr>
                <w:sz w:val="20"/>
                <w:szCs w:val="20"/>
              </w:rPr>
            </w:pPr>
          </w:p>
        </w:tc>
      </w:tr>
      <w:tr w:rsidR="009F2336" w:rsidRPr="00AD2324">
        <w:tc>
          <w:tcPr>
            <w:tcW w:w="2022" w:type="dxa"/>
            <w:shd w:val="clear" w:color="auto" w:fill="DAEEF3" w:themeFill="accent5" w:themeFillTint="33"/>
            <w:vAlign w:val="center"/>
          </w:tcPr>
          <w:p w:rsidR="009F2336" w:rsidRPr="00AD2324" w:rsidRDefault="009F2336" w:rsidP="00096BDF">
            <w:pPr>
              <w:jc w:val="center"/>
              <w:rPr>
                <w:sz w:val="20"/>
                <w:szCs w:val="20"/>
              </w:rPr>
            </w:pPr>
            <w:r w:rsidRPr="00AD2324">
              <w:rPr>
                <w:sz w:val="20"/>
                <w:szCs w:val="20"/>
              </w:rPr>
              <w:t>NTG</w:t>
            </w:r>
          </w:p>
        </w:tc>
        <w:tc>
          <w:tcPr>
            <w:tcW w:w="3193" w:type="dxa"/>
            <w:shd w:val="clear" w:color="auto" w:fill="DAEEF3" w:themeFill="accent5" w:themeFillTint="33"/>
          </w:tcPr>
          <w:p w:rsidR="009F2336" w:rsidRPr="00AD2324" w:rsidRDefault="009F2336" w:rsidP="00096BDF">
            <w:pPr>
              <w:jc w:val="center"/>
              <w:rPr>
                <w:sz w:val="20"/>
                <w:szCs w:val="20"/>
              </w:rPr>
            </w:pPr>
          </w:p>
        </w:tc>
        <w:tc>
          <w:tcPr>
            <w:tcW w:w="3780" w:type="dxa"/>
            <w:shd w:val="clear" w:color="auto" w:fill="DAEEF3" w:themeFill="accent5" w:themeFillTint="33"/>
            <w:vAlign w:val="center"/>
          </w:tcPr>
          <w:p w:rsidR="009F2336" w:rsidRPr="00AD2324" w:rsidRDefault="009F2336" w:rsidP="00096BDF">
            <w:pPr>
              <w:jc w:val="center"/>
              <w:rPr>
                <w:sz w:val="20"/>
                <w:szCs w:val="20"/>
              </w:rPr>
            </w:pPr>
          </w:p>
        </w:tc>
      </w:tr>
    </w:tbl>
    <w:p w:rsidR="00B06EFB" w:rsidRDefault="00B06EFB" w:rsidP="009F2336">
      <w:pPr>
        <w:pStyle w:val="Heading1"/>
        <w:numPr>
          <w:ilvl w:val="0"/>
          <w:numId w:val="24"/>
        </w:numPr>
        <w:ind w:left="450" w:hanging="540"/>
      </w:pPr>
      <w:r>
        <w:t>Questions for CPUC Staff on Applicability of DEER Values, Methods, Tools, Data</w:t>
      </w:r>
      <w:r w:rsidR="00822081">
        <w:t>, Etc.</w:t>
      </w:r>
    </w:p>
    <w:p w:rsidR="00B06EFB" w:rsidRDefault="00B06EFB" w:rsidP="00D767BD">
      <w:pPr>
        <w:ind w:left="-90"/>
        <w:rPr>
          <w:i/>
          <w:color w:val="FF0000"/>
        </w:rPr>
      </w:pPr>
      <w:r w:rsidRPr="009F2336">
        <w:rPr>
          <w:i/>
          <w:color w:val="FF0000"/>
        </w:rPr>
        <w:t xml:space="preserve">List any questions </w:t>
      </w:r>
      <w:r w:rsidR="009F2336">
        <w:rPr>
          <w:i/>
          <w:color w:val="FF0000"/>
        </w:rPr>
        <w:t>for CPUC staff proposed data and methodology, including questions</w:t>
      </w:r>
      <w:r w:rsidRPr="009F2336">
        <w:rPr>
          <w:i/>
          <w:color w:val="FF0000"/>
        </w:rPr>
        <w:t xml:space="preserve"> </w:t>
      </w:r>
      <w:r w:rsidR="009F2336">
        <w:rPr>
          <w:i/>
          <w:color w:val="FF0000"/>
        </w:rPr>
        <w:t xml:space="preserve">about </w:t>
      </w:r>
      <w:r w:rsidRPr="009F2336">
        <w:rPr>
          <w:i/>
          <w:color w:val="FF0000"/>
        </w:rPr>
        <w:t xml:space="preserve">applicable DEER values, methods, data.  Question should be specific, and provide link to DEER where applicability is uncertain.  </w:t>
      </w:r>
    </w:p>
    <w:p w:rsidR="009F2336" w:rsidRDefault="009F2336" w:rsidP="00B845D5">
      <w:pPr>
        <w:rPr>
          <w:i/>
          <w:color w:val="FF0000"/>
        </w:rPr>
      </w:pPr>
    </w:p>
    <w:p w:rsidR="009F2336" w:rsidRPr="009F2336" w:rsidRDefault="009F2336" w:rsidP="00B845D5">
      <w:pPr>
        <w:rPr>
          <w:i/>
          <w:color w:val="FF0000"/>
        </w:rPr>
      </w:pPr>
    </w:p>
    <w:p w:rsidR="00E15A06" w:rsidRDefault="00E15A06" w:rsidP="009F2336">
      <w:pPr>
        <w:pStyle w:val="Heading1"/>
        <w:numPr>
          <w:ilvl w:val="0"/>
          <w:numId w:val="24"/>
        </w:numPr>
        <w:tabs>
          <w:tab w:val="left" w:pos="450"/>
        </w:tabs>
        <w:ind w:left="540" w:hanging="630"/>
      </w:pPr>
      <w:r>
        <w:t>Additional Research Needed</w:t>
      </w:r>
    </w:p>
    <w:p w:rsidR="000C7F39" w:rsidRPr="009F2336" w:rsidRDefault="000C7F39" w:rsidP="00D767BD">
      <w:pPr>
        <w:rPr>
          <w:color w:val="FF0000"/>
        </w:rPr>
      </w:pPr>
      <w:r w:rsidRPr="009F2336">
        <w:rPr>
          <w:i/>
          <w:iCs/>
          <w:color w:val="FF0000"/>
          <w:szCs w:val="22"/>
        </w:rPr>
        <w:t xml:space="preserve">Author should list any other research needed to complete the abstract </w:t>
      </w:r>
      <w:r w:rsidR="00822081" w:rsidRPr="009F2336">
        <w:rPr>
          <w:i/>
          <w:iCs/>
          <w:color w:val="FF0000"/>
          <w:szCs w:val="22"/>
        </w:rPr>
        <w:t>and/or workpaper</w:t>
      </w:r>
      <w:r w:rsidRPr="009F2336">
        <w:rPr>
          <w:i/>
          <w:iCs/>
          <w:color w:val="FF0000"/>
          <w:szCs w:val="22"/>
        </w:rPr>
        <w:t>.</w:t>
      </w:r>
    </w:p>
    <w:p w:rsidR="008F305A" w:rsidRPr="008F305A" w:rsidRDefault="008F305A" w:rsidP="00B845D5"/>
    <w:p w:rsidR="00E15A06" w:rsidRDefault="00E15A06" w:rsidP="00B845D5"/>
    <w:p w:rsidR="00E15A06" w:rsidRDefault="00822081" w:rsidP="009F2336">
      <w:pPr>
        <w:pStyle w:val="Heading1"/>
        <w:numPr>
          <w:ilvl w:val="0"/>
          <w:numId w:val="24"/>
        </w:numPr>
        <w:ind w:left="450" w:hanging="540"/>
      </w:pPr>
      <w:r>
        <w:t xml:space="preserve">Applicable EM&amp;V </w:t>
      </w:r>
    </w:p>
    <w:p w:rsidR="000C7F39" w:rsidRPr="009F2336" w:rsidRDefault="00C50534" w:rsidP="00D767BD">
      <w:pPr>
        <w:rPr>
          <w:i/>
          <w:color w:val="FF0000"/>
        </w:rPr>
      </w:pPr>
      <w:r w:rsidRPr="009F2336">
        <w:rPr>
          <w:i/>
          <w:color w:val="FF0000"/>
        </w:rPr>
        <w:t>Describe</w:t>
      </w:r>
      <w:r w:rsidR="000C7F39" w:rsidRPr="009F2336">
        <w:rPr>
          <w:i/>
          <w:color w:val="FF0000"/>
        </w:rPr>
        <w:t xml:space="preserve"> any </w:t>
      </w:r>
      <w:r w:rsidR="00822081" w:rsidRPr="009F2336">
        <w:rPr>
          <w:i/>
          <w:color w:val="FF0000"/>
        </w:rPr>
        <w:t xml:space="preserve">recent </w:t>
      </w:r>
      <w:r w:rsidR="000C7F39" w:rsidRPr="009F2336">
        <w:rPr>
          <w:i/>
          <w:color w:val="FF0000"/>
        </w:rPr>
        <w:t xml:space="preserve">EM&amp;V </w:t>
      </w:r>
      <w:r w:rsidR="00822081" w:rsidRPr="009F2336">
        <w:rPr>
          <w:i/>
          <w:color w:val="FF0000"/>
        </w:rPr>
        <w:t>studies (California or other jurisdiction) that should be considered in developing</w:t>
      </w:r>
      <w:r w:rsidR="00D767BD">
        <w:rPr>
          <w:i/>
          <w:color w:val="FF0000"/>
        </w:rPr>
        <w:t xml:space="preserve"> measure WP, with link to study </w:t>
      </w:r>
      <w:r w:rsidR="00D767BD">
        <w:rPr>
          <w:rFonts w:cs="Arial"/>
          <w:i/>
          <w:iCs/>
          <w:color w:val="FF0000"/>
          <w:szCs w:val="22"/>
        </w:rPr>
        <w:t>in Appendix A.</w:t>
      </w:r>
    </w:p>
    <w:p w:rsidR="000C7F39" w:rsidRPr="00C50534" w:rsidRDefault="000C7F39" w:rsidP="00B845D5">
      <w:pPr>
        <w:rPr>
          <w:i/>
        </w:rPr>
      </w:pPr>
    </w:p>
    <w:p w:rsidR="000C7F39" w:rsidRPr="000C7F39" w:rsidRDefault="000C7F39" w:rsidP="00B845D5"/>
    <w:p w:rsidR="000C7F39" w:rsidRDefault="000C7F39" w:rsidP="009F2336">
      <w:pPr>
        <w:pStyle w:val="Heading1"/>
        <w:numPr>
          <w:ilvl w:val="0"/>
          <w:numId w:val="24"/>
        </w:numPr>
        <w:tabs>
          <w:tab w:val="left" w:pos="450"/>
        </w:tabs>
        <w:ind w:left="270" w:hanging="270"/>
      </w:pPr>
      <w:r>
        <w:t xml:space="preserve"> Workpaper </w:t>
      </w:r>
      <w:r w:rsidR="00822081">
        <w:t>Development</w:t>
      </w:r>
    </w:p>
    <w:p w:rsidR="00C50534" w:rsidRDefault="00C50534" w:rsidP="00B845D5"/>
    <w:p w:rsidR="00822081" w:rsidRPr="009F2336" w:rsidRDefault="00822081" w:rsidP="00D767BD">
      <w:pPr>
        <w:rPr>
          <w:color w:val="FF0000"/>
        </w:rPr>
      </w:pPr>
      <w:r w:rsidRPr="009F2336">
        <w:rPr>
          <w:color w:val="FF0000"/>
        </w:rPr>
        <w:t>Provide:</w:t>
      </w:r>
    </w:p>
    <w:p w:rsidR="00822081" w:rsidRPr="009F2336" w:rsidRDefault="00822081" w:rsidP="00D767BD">
      <w:pPr>
        <w:rPr>
          <w:color w:val="FF0000"/>
        </w:rPr>
      </w:pPr>
      <w:r w:rsidRPr="009F2336">
        <w:rPr>
          <w:color w:val="FF0000"/>
        </w:rPr>
        <w:t>1. Proposed WP developer, and justification for why developer selected.</w:t>
      </w:r>
    </w:p>
    <w:p w:rsidR="00822081" w:rsidRPr="009F2336" w:rsidRDefault="00822081" w:rsidP="00D767BD">
      <w:pPr>
        <w:rPr>
          <w:color w:val="FF0000"/>
        </w:rPr>
      </w:pPr>
      <w:r w:rsidRPr="009F2336">
        <w:rPr>
          <w:color w:val="FF0000"/>
        </w:rPr>
        <w:t>2. List key tasks for developer</w:t>
      </w:r>
    </w:p>
    <w:p w:rsidR="00822081" w:rsidRPr="009F2336" w:rsidRDefault="00822081" w:rsidP="00D767BD">
      <w:pPr>
        <w:rPr>
          <w:color w:val="FF0000"/>
        </w:rPr>
      </w:pPr>
      <w:r w:rsidRPr="009F2336">
        <w:rPr>
          <w:color w:val="FF0000"/>
        </w:rPr>
        <w:t xml:space="preserve">3. Provide proposed budget for WP development.  </w:t>
      </w:r>
    </w:p>
    <w:p w:rsidR="00D767BD" w:rsidRDefault="00D767BD">
      <w:pPr>
        <w:rPr>
          <w:rFonts w:cs="Arial"/>
          <w:b/>
          <w:bCs/>
          <w:kern w:val="32"/>
          <w:sz w:val="32"/>
          <w:szCs w:val="32"/>
        </w:rPr>
      </w:pPr>
      <w:r>
        <w:br w:type="page"/>
      </w:r>
    </w:p>
    <w:p w:rsidR="00C50534" w:rsidRDefault="00BB22C2" w:rsidP="00BB22C2">
      <w:pPr>
        <w:pStyle w:val="Heading1"/>
      </w:pPr>
      <w:r>
        <w:t>Appendix A – Sources</w:t>
      </w:r>
    </w:p>
    <w:p w:rsidR="00BB22C2" w:rsidRPr="00BB22C2" w:rsidRDefault="00BB22C2" w:rsidP="00BB22C2">
      <w:pPr>
        <w:rPr>
          <w:color w:val="FF0000"/>
        </w:rPr>
      </w:pPr>
      <w:r>
        <w:rPr>
          <w:color w:val="FF0000"/>
        </w:rPr>
        <w:t>List all source links or embedded documents</w:t>
      </w:r>
    </w:p>
    <w:sectPr w:rsidR="00BB22C2" w:rsidRPr="00BB22C2" w:rsidSect="000D5482">
      <w:headerReference w:type="even" r:id="rId22"/>
      <w:headerReference w:type="default" r:id="rId23"/>
      <w:footerReference w:type="even" r:id="rId24"/>
      <w:footerReference w:type="default" r:id="rId25"/>
      <w:headerReference w:type="first" r:id="rId26"/>
      <w:footerReference w:type="first" r:id="rId27"/>
      <w:endnotePr>
        <w:numFmt w:val="decimal"/>
      </w:endnotePr>
      <w:pgSz w:w="12240" w:h="15840"/>
      <w:pgMar w:top="1440" w:right="1440" w:bottom="1440" w:left="1440" w:gutter="0"/>
      <w:pgNumType w:start="1" w:chapStyle="1"/>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A88" w:rsidRDefault="00FD4A88">
      <w:r>
        <w:separator/>
      </w:r>
    </w:p>
    <w:p w:rsidR="00FD4A88" w:rsidRDefault="00FD4A88"/>
  </w:endnote>
  <w:endnote w:type="continuationSeparator" w:id="0">
    <w:p w:rsidR="00FD4A88" w:rsidRDefault="00FD4A88">
      <w:r>
        <w:continuationSeparator/>
      </w:r>
    </w:p>
    <w:p w:rsidR="00FD4A88" w:rsidRDefault="00FD4A88"/>
  </w:endnote>
  <w:endnote w:id="1">
    <w:p w:rsidR="007C1463" w:rsidRDefault="007C1463">
      <w:pPr>
        <w:pStyle w:val="EndnoteText"/>
      </w:pPr>
      <w:r>
        <w:rPr>
          <w:rStyle w:val="EndnoteReference"/>
        </w:rPr>
        <w:endnoteRef/>
      </w:r>
      <w:r>
        <w:t xml:space="preserve"> Accessed at </w:t>
      </w:r>
      <w:hyperlink r:id="rId1" w:history="1">
        <w:r w:rsidRPr="00EA5F97">
          <w:rPr>
            <w:rStyle w:val="Hyperlink"/>
          </w:rPr>
          <w:t>http://apps1.eere.energy.gov/buildings/publications/pdfs/ssl/led-adoption-report_2013.pdf</w:t>
        </w:r>
      </w:hyperlink>
      <w:r>
        <w:t>, p. 34.</w:t>
      </w:r>
    </w:p>
    <w:p w:rsidR="007C1463" w:rsidRDefault="007C1463">
      <w:pPr>
        <w:pStyle w:val="EndnoteText"/>
      </w:pPr>
    </w:p>
  </w:endnote>
  <w:endnote w:id="2">
    <w:p w:rsidR="007C1463" w:rsidRDefault="007C1463" w:rsidP="000118A4">
      <w:pPr>
        <w:pStyle w:val="EndnoteText"/>
      </w:pPr>
      <w:r>
        <w:rPr>
          <w:rStyle w:val="EndnoteReference"/>
        </w:rPr>
        <w:endnoteRef/>
      </w:r>
      <w:r>
        <w:t xml:space="preserve"> </w:t>
      </w:r>
      <w:r w:rsidRPr="00423677">
        <w:t xml:space="preserve">Eilert, P. Fernstrom, G. and E. Elliott, 2008. Codes and Standards Enhancement Initiative.  For PY2008: Title 20 Standards Development.  Analysis of Standards Options for Linear Fluorescent Fixtures, Preliminary CASE Report.  </w:t>
      </w:r>
      <w:r>
        <w:t xml:space="preserve">Accessed at </w:t>
      </w:r>
      <w:hyperlink r:id="rId2" w:history="1">
        <w:r w:rsidRPr="00EA5F97">
          <w:rPr>
            <w:rStyle w:val="Hyperlink"/>
          </w:rPr>
          <w:t>http://www.energy.ca.gov/appliances/2008rulemaking/documents/2008-02-01_documents/CASE_studies/Analysis_of_Standards_Options_for_Linear_Fluorescent_Fixtures.pdf</w:t>
        </w:r>
      </w:hyperlink>
      <w:r w:rsidR="000A5968">
        <w:t>, p. 12.</w:t>
      </w:r>
      <w:r>
        <w:t xml:space="preserve"> </w:t>
      </w:r>
    </w:p>
    <w:p w:rsidR="007C1463" w:rsidRDefault="007C1463" w:rsidP="000118A4">
      <w:pPr>
        <w:pStyle w:val="EndnoteText"/>
      </w:pPr>
    </w:p>
  </w:endnote>
  <w:endnote w:id="3">
    <w:p w:rsidR="007C1463" w:rsidRDefault="007C1463" w:rsidP="000118A4">
      <w:pPr>
        <w:pStyle w:val="EndnoteText"/>
      </w:pPr>
      <w:r>
        <w:rPr>
          <w:rStyle w:val="EndnoteReference"/>
        </w:rPr>
        <w:endnoteRef/>
      </w:r>
      <w:r>
        <w:t xml:space="preserve"> California Energy Commission website; accessed at:</w:t>
      </w:r>
      <w:r w:rsidRPr="00736F28">
        <w:t xml:space="preserve"> </w:t>
      </w:r>
      <w:hyperlink r:id="rId3" w:history="1">
        <w:r w:rsidRPr="00736F28">
          <w:rPr>
            <w:rStyle w:val="Hyperlink"/>
          </w:rPr>
          <w:t>http://www.energy.ca.gov/maps/maps-pdf/UTILITY_SERVICE_AREAS_DETAIL.PDF</w:t>
        </w:r>
      </w:hyperlink>
      <w:r w:rsidRPr="00736F28">
        <w:tab/>
      </w:r>
    </w:p>
    <w:p w:rsidR="007C1463" w:rsidRDefault="007C1463" w:rsidP="000118A4">
      <w:pPr>
        <w:pStyle w:val="EndnoteText"/>
      </w:pPr>
    </w:p>
  </w:endnote>
  <w:endnote w:id="4">
    <w:p w:rsidR="000A5968" w:rsidRDefault="000A5968">
      <w:pPr>
        <w:pStyle w:val="EndnoteText"/>
      </w:pPr>
      <w:r>
        <w:rPr>
          <w:rStyle w:val="EndnoteReference"/>
        </w:rPr>
        <w:endnoteRef/>
      </w:r>
      <w:r>
        <w:t xml:space="preserve"> Accessed at </w:t>
      </w:r>
      <w:hyperlink r:id="rId4" w:history="1">
        <w:r w:rsidR="00BD5DEC" w:rsidRPr="00EA5F97">
          <w:rPr>
            <w:rStyle w:val="Hyperlink"/>
          </w:rPr>
          <w:t>http://apps1.eere.energy.gov/buildings/publications/pdfs/ssl/ssl_energy-savings-report_jan-2012.pdf</w:t>
        </w:r>
      </w:hyperlink>
      <w:r w:rsidR="00BD5DEC">
        <w:t>, p. 38.</w:t>
      </w:r>
    </w:p>
  </w:endnote>
  <w:endnote w:id="5">
    <w:p w:rsidR="007C1463" w:rsidRDefault="007C1463" w:rsidP="00002F4F">
      <w:pPr>
        <w:pStyle w:val="EndnoteText"/>
      </w:pPr>
      <w:r>
        <w:rPr>
          <w:rStyle w:val="EndnoteReference"/>
        </w:rPr>
        <w:endnoteRef/>
      </w:r>
      <w:r>
        <w:t xml:space="preserve"> Accessed at </w:t>
      </w:r>
      <w:hyperlink r:id="rId5" w:history="1">
        <w:r w:rsidRPr="00EA5F97">
          <w:rPr>
            <w:rStyle w:val="Hyperlink"/>
          </w:rPr>
          <w:t>http://apps1.eere.energy.gov/buildings/publications/pdfs/ssl/led-adoption-report_2013.pdf</w:t>
        </w:r>
      </w:hyperlink>
      <w:r>
        <w:t xml:space="preserve">, p. 35. </w:t>
      </w:r>
    </w:p>
  </w:endnote>
  <w:endnote w:id="6">
    <w:p w:rsidR="007C1463" w:rsidRDefault="007C1463">
      <w:pPr>
        <w:pStyle w:val="EndnoteText"/>
      </w:pPr>
      <w:r>
        <w:rPr>
          <w:rStyle w:val="EndnoteReference"/>
        </w:rPr>
        <w:endnoteRef/>
      </w:r>
      <w:r>
        <w:t xml:space="preserve"> DEER Measure List: </w:t>
      </w:r>
      <w:r w:rsidR="009E5CEF" w:rsidRPr="009E5CEF">
        <w:t>LED_Fixt_MeasureDefinitions_DEER2013</w:t>
      </w:r>
      <w:r w:rsidR="009E5CEF">
        <w:t>.xlsx</w:t>
      </w:r>
    </w:p>
    <w:p w:rsidR="007C1463" w:rsidRDefault="007C1463">
      <w:pPr>
        <w:pStyle w:val="EndnoteText"/>
      </w:pP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463" w:rsidRDefault="00A61D06" w:rsidP="00E57743">
    <w:pPr>
      <w:pStyle w:val="Footer"/>
      <w:framePr w:wrap="around" w:vAnchor="text" w:hAnchor="margin" w:xAlign="center" w:y="1"/>
      <w:rPr>
        <w:rStyle w:val="PageNumber"/>
      </w:rPr>
    </w:pPr>
    <w:r>
      <w:rPr>
        <w:rStyle w:val="PageNumber"/>
      </w:rPr>
      <w:fldChar w:fldCharType="begin"/>
    </w:r>
    <w:r w:rsidR="007C1463">
      <w:rPr>
        <w:rStyle w:val="PageNumber"/>
      </w:rPr>
      <w:instrText xml:space="preserve">PAGE  </w:instrText>
    </w:r>
    <w:r>
      <w:rPr>
        <w:rStyle w:val="PageNumber"/>
      </w:rPr>
      <w:fldChar w:fldCharType="end"/>
    </w:r>
  </w:p>
  <w:p w:rsidR="007C1463" w:rsidRDefault="007C1463">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463" w:rsidRPr="00846195" w:rsidRDefault="00A61D06" w:rsidP="00E57743">
    <w:pPr>
      <w:pStyle w:val="Footer"/>
      <w:framePr w:wrap="around" w:vAnchor="text" w:hAnchor="margin" w:xAlign="center" w:y="1"/>
      <w:rPr>
        <w:rStyle w:val="PageNumber"/>
      </w:rPr>
    </w:pPr>
    <w:r w:rsidRPr="00846195">
      <w:rPr>
        <w:rStyle w:val="PageNumber"/>
        <w:b/>
        <w:sz w:val="20"/>
        <w:szCs w:val="20"/>
      </w:rPr>
      <w:fldChar w:fldCharType="begin"/>
    </w:r>
    <w:r w:rsidR="007C1463" w:rsidRPr="00846195">
      <w:rPr>
        <w:rStyle w:val="PageNumber"/>
        <w:b/>
        <w:sz w:val="20"/>
        <w:szCs w:val="20"/>
      </w:rPr>
      <w:instrText xml:space="preserve">PAGE  </w:instrText>
    </w:r>
    <w:r w:rsidRPr="00846195">
      <w:rPr>
        <w:rStyle w:val="PageNumber"/>
        <w:b/>
        <w:sz w:val="20"/>
        <w:szCs w:val="20"/>
      </w:rPr>
      <w:fldChar w:fldCharType="separate"/>
    </w:r>
    <w:r w:rsidR="00E879FD">
      <w:rPr>
        <w:rStyle w:val="PageNumber"/>
        <w:b/>
        <w:noProof/>
        <w:sz w:val="20"/>
        <w:szCs w:val="20"/>
      </w:rPr>
      <w:t>ii</w:t>
    </w:r>
    <w:r w:rsidRPr="00846195">
      <w:rPr>
        <w:rStyle w:val="PageNumber"/>
        <w:b/>
        <w:sz w:val="20"/>
        <w:szCs w:val="20"/>
      </w:rPr>
      <w:fldChar w:fldCharType="end"/>
    </w:r>
  </w:p>
  <w:p w:rsidR="007C1463" w:rsidRDefault="007C1463" w:rsidP="00D7047A">
    <w:pPr>
      <w:pStyle w:val="Footer"/>
      <w:pBdr>
        <w:top w:val="single" w:sz="4" w:space="1" w:color="auto"/>
      </w:pBdr>
      <w:tabs>
        <w:tab w:val="clear" w:pos="8640"/>
        <w:tab w:val="right" w:pos="9360"/>
      </w:tabs>
      <w:rPr>
        <w:b/>
        <w:sz w:val="20"/>
        <w:szCs w:val="20"/>
      </w:rPr>
    </w:pPr>
    <w:r>
      <w:rPr>
        <w:b/>
        <w:color w:val="FF0000"/>
        <w:sz w:val="20"/>
        <w:szCs w:val="20"/>
      </w:rPr>
      <w:t>Work Paper PGE(End-Use)###</w:t>
    </w:r>
    <w:r>
      <w:rPr>
        <w:b/>
        <w:sz w:val="20"/>
        <w:szCs w:val="20"/>
      </w:rPr>
      <w:t xml:space="preserve">, Revision </w:t>
    </w:r>
    <w:r w:rsidRPr="000170B5">
      <w:rPr>
        <w:b/>
        <w:color w:val="FF0000"/>
        <w:sz w:val="20"/>
        <w:szCs w:val="20"/>
      </w:rPr>
      <w:t>X</w:t>
    </w:r>
    <w:r>
      <w:rPr>
        <w:b/>
        <w:sz w:val="20"/>
        <w:szCs w:val="20"/>
      </w:rPr>
      <w:tab/>
    </w:r>
    <w:r>
      <w:rPr>
        <w:b/>
        <w:sz w:val="20"/>
        <w:szCs w:val="20"/>
      </w:rPr>
      <w:tab/>
      <w:t>11/20/2007</w:t>
    </w:r>
  </w:p>
  <w:p w:rsidR="007C1463" w:rsidRDefault="007C1463" w:rsidP="00D7047A">
    <w:pPr>
      <w:pStyle w:val="Footer"/>
      <w:rPr>
        <w:b/>
        <w:sz w:val="20"/>
        <w:szCs w:val="20"/>
      </w:rPr>
    </w:pPr>
    <w:r>
      <w:rPr>
        <w:b/>
        <w:sz w:val="20"/>
        <w:szCs w:val="20"/>
      </w:rPr>
      <w:t>Pacific Gas &amp; Electric Company</w:t>
    </w:r>
  </w:p>
  <w:p w:rsidR="007C1463" w:rsidRPr="00844B27" w:rsidRDefault="00A61D06" w:rsidP="00D7047A">
    <w:pPr>
      <w:pStyle w:val="Footer"/>
      <w:rPr>
        <w:b/>
        <w:color w:val="0000FF"/>
        <w:sz w:val="20"/>
        <w:szCs w:val="20"/>
      </w:rPr>
    </w:pPr>
    <w:r w:rsidRPr="00844B27">
      <w:rPr>
        <w:b/>
        <w:color w:val="0000FF"/>
        <w:sz w:val="20"/>
        <w:szCs w:val="20"/>
      </w:rPr>
      <w:fldChar w:fldCharType="begin"/>
    </w:r>
    <w:r w:rsidR="007C1463" w:rsidRPr="00844B27">
      <w:rPr>
        <w:b/>
        <w:color w:val="0000FF"/>
        <w:sz w:val="20"/>
        <w:szCs w:val="20"/>
      </w:rPr>
      <w:instrText xml:space="preserve"> FILENAME </w:instrText>
    </w:r>
    <w:r w:rsidRPr="00844B27">
      <w:rPr>
        <w:b/>
        <w:color w:val="0000FF"/>
        <w:sz w:val="20"/>
        <w:szCs w:val="20"/>
      </w:rPr>
      <w:fldChar w:fldCharType="separate"/>
    </w:r>
    <w:r w:rsidR="00B412ED">
      <w:rPr>
        <w:b/>
        <w:noProof/>
        <w:color w:val="0000FF"/>
        <w:sz w:val="20"/>
        <w:szCs w:val="20"/>
      </w:rPr>
      <w:t>Draft Cal TF Workpaper ABSTRACT LED Panels_unEmbedded.docx</w:t>
    </w:r>
    <w:r w:rsidRPr="00844B27">
      <w:rPr>
        <w:b/>
        <w:color w:val="0000FF"/>
        <w:sz w:val="20"/>
        <w:szCs w:val="20"/>
      </w:rPr>
      <w:fldChar w:fldCharType="end"/>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463" w:rsidRDefault="00DD464F" w:rsidP="00274A7E">
    <w:pPr>
      <w:pStyle w:val="Footer"/>
      <w:jc w:val="right"/>
      <w:rPr>
        <w:rFonts w:cs="Arial"/>
        <w:b/>
        <w:sz w:val="36"/>
        <w:szCs w:val="36"/>
      </w:rPr>
    </w:pPr>
    <w:r>
      <w:rPr>
        <w:rFonts w:cs="Arial"/>
        <w:b/>
        <w:sz w:val="36"/>
        <w:szCs w:val="36"/>
      </w:rPr>
      <w:t>6/13/14</w:t>
    </w:r>
    <w:r w:rsidR="007C1463">
      <w:rPr>
        <w:rFonts w:cs="Arial"/>
        <w:b/>
        <w:sz w:val="36"/>
        <w:szCs w:val="36"/>
      </w:rPr>
      <w:t xml:space="preserve"> </w:t>
    </w:r>
  </w:p>
  <w:p w:rsidR="007C1463" w:rsidRPr="002E0E3F" w:rsidRDefault="007C1463" w:rsidP="00274A7E">
    <w:pPr>
      <w:pStyle w:val="Footer"/>
      <w:jc w:val="right"/>
      <w:rPr>
        <w:rFonts w:cs="Arial"/>
        <w:b/>
        <w:sz w:val="36"/>
        <w:szCs w:val="36"/>
      </w:rPr>
    </w:pPr>
    <w:r>
      <w:rPr>
        <w:rFonts w:cs="Arial"/>
        <w:b/>
        <w:sz w:val="36"/>
        <w:szCs w:val="36"/>
      </w:rPr>
      <w:t>Rev. 8</w:t>
    </w:r>
  </w:p>
  <w:p w:rsidR="007C1463" w:rsidRDefault="007C1463">
    <w:pPr>
      <w:pStyle w:val="Footer"/>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463" w:rsidRDefault="00A61D06" w:rsidP="00E57743">
    <w:pPr>
      <w:pStyle w:val="Footer"/>
      <w:framePr w:wrap="around" w:vAnchor="text" w:hAnchor="margin" w:xAlign="center" w:y="1"/>
      <w:rPr>
        <w:rStyle w:val="PageNumber"/>
      </w:rPr>
    </w:pPr>
    <w:r>
      <w:rPr>
        <w:rStyle w:val="PageNumber"/>
      </w:rPr>
      <w:fldChar w:fldCharType="begin"/>
    </w:r>
    <w:r w:rsidR="007C1463">
      <w:rPr>
        <w:rStyle w:val="PageNumber"/>
      </w:rPr>
      <w:instrText xml:space="preserve">PAGE  </w:instrText>
    </w:r>
    <w:r>
      <w:rPr>
        <w:rStyle w:val="PageNumber"/>
      </w:rPr>
      <w:fldChar w:fldCharType="end"/>
    </w:r>
  </w:p>
  <w:p w:rsidR="007C1463" w:rsidRDefault="007C1463">
    <w:pPr>
      <w:pStyle w:val="Footer"/>
    </w:pPr>
  </w:p>
</w:ftr>
</file>

<file path=word/footer5.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463" w:rsidRPr="00C50534" w:rsidRDefault="007C1463" w:rsidP="00C747DF">
    <w:pPr>
      <w:pStyle w:val="Footer"/>
      <w:pBdr>
        <w:top w:val="single" w:sz="4" w:space="1" w:color="auto"/>
      </w:pBdr>
      <w:tabs>
        <w:tab w:val="clear" w:pos="4320"/>
        <w:tab w:val="clear" w:pos="8640"/>
        <w:tab w:val="right" w:pos="9360"/>
      </w:tabs>
      <w:rPr>
        <w:rFonts w:ascii="Arial Narrow" w:hAnsi="Arial Narrow"/>
        <w:b/>
        <w:sz w:val="20"/>
        <w:szCs w:val="20"/>
      </w:rPr>
    </w:pPr>
    <w:r w:rsidRPr="00C50534">
      <w:rPr>
        <w:rFonts w:ascii="Arial Narrow" w:hAnsi="Arial Narrow"/>
        <w:b/>
        <w:sz w:val="20"/>
        <w:szCs w:val="20"/>
      </w:rPr>
      <w:t>Cal TF – Work Paper Abstract</w:t>
    </w:r>
    <w:r w:rsidRPr="00C50534">
      <w:rPr>
        <w:rFonts w:ascii="Arial Narrow" w:hAnsi="Arial Narrow"/>
        <w:b/>
        <w:sz w:val="20"/>
        <w:szCs w:val="20"/>
      </w:rPr>
      <w:tab/>
      <w:t xml:space="preserve"> </w:t>
    </w:r>
    <w:r>
      <w:rPr>
        <w:rFonts w:ascii="Arial Narrow" w:hAnsi="Arial Narrow"/>
        <w:b/>
        <w:color w:val="FF0000"/>
        <w:sz w:val="20"/>
        <w:szCs w:val="20"/>
      </w:rPr>
      <w:t>6/6/2014</w:t>
    </w:r>
  </w:p>
  <w:p w:rsidR="007C1463" w:rsidRPr="00B845D5" w:rsidRDefault="007C1463" w:rsidP="00D7047A">
    <w:pPr>
      <w:pStyle w:val="Footer"/>
      <w:rPr>
        <w:rFonts w:ascii="Arial Narrow" w:hAnsi="Arial Narrow"/>
        <w:b/>
        <w:color w:val="FF0000"/>
        <w:sz w:val="20"/>
        <w:szCs w:val="20"/>
      </w:rPr>
    </w:pPr>
    <w:r>
      <w:rPr>
        <w:rFonts w:ascii="Arial Narrow" w:hAnsi="Arial Narrow"/>
        <w:b/>
        <w:color w:val="FF0000"/>
        <w:sz w:val="20"/>
        <w:szCs w:val="20"/>
      </w:rPr>
      <w:t>LED Panels</w:t>
    </w:r>
  </w:p>
  <w:p w:rsidR="007C1463" w:rsidRPr="00C50534" w:rsidRDefault="007C1463" w:rsidP="00C747DF">
    <w:pPr>
      <w:pStyle w:val="Footer"/>
      <w:tabs>
        <w:tab w:val="clear" w:pos="4320"/>
        <w:tab w:val="clear" w:pos="8640"/>
        <w:tab w:val="right" w:pos="9360"/>
      </w:tabs>
      <w:rPr>
        <w:rFonts w:ascii="Arial Narrow" w:hAnsi="Arial Narrow"/>
        <w:b/>
        <w:sz w:val="20"/>
        <w:szCs w:val="20"/>
      </w:rPr>
    </w:pPr>
    <w:r w:rsidRPr="00C50534">
      <w:rPr>
        <w:rFonts w:ascii="Arial Narrow" w:hAnsi="Arial Narrow"/>
        <w:b/>
        <w:color w:val="0000FF"/>
        <w:sz w:val="20"/>
        <w:szCs w:val="20"/>
      </w:rPr>
      <w:tab/>
    </w:r>
    <w:r w:rsidRPr="00C50534">
      <w:rPr>
        <w:rFonts w:ascii="Arial Narrow" w:hAnsi="Arial Narrow"/>
        <w:b/>
        <w:sz w:val="20"/>
        <w:szCs w:val="20"/>
      </w:rPr>
      <w:t xml:space="preserve">Page </w:t>
    </w:r>
    <w:fldSimple w:instr=" PAGE  \* Arabic  \* MERGEFORMAT ">
      <w:r w:rsidR="00E879FD">
        <w:rPr>
          <w:rFonts w:ascii="Arial Narrow" w:hAnsi="Arial Narrow"/>
          <w:b/>
          <w:noProof/>
          <w:sz w:val="20"/>
          <w:szCs w:val="20"/>
        </w:rPr>
        <w:t>8</w:t>
      </w:r>
    </w:fldSimple>
  </w:p>
  <w:p w:rsidR="007C1463" w:rsidRPr="00C50534" w:rsidRDefault="007C1463">
    <w:pPr>
      <w:rPr>
        <w:rFonts w:ascii="Arial Narrow" w:hAnsi="Arial Narrow"/>
      </w:rPr>
    </w:pPr>
  </w:p>
</w:ftr>
</file>

<file path=word/footer6.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463" w:rsidRPr="002E0E3F" w:rsidRDefault="007C1463" w:rsidP="00D7047A">
    <w:pPr>
      <w:pStyle w:val="Footer"/>
      <w:jc w:val="right"/>
      <w:rPr>
        <w:rFonts w:cs="Arial"/>
        <w:b/>
        <w:sz w:val="36"/>
        <w:szCs w:val="36"/>
      </w:rPr>
    </w:pPr>
    <w:r>
      <w:rPr>
        <w:rFonts w:cs="Arial"/>
        <w:b/>
        <w:sz w:val="36"/>
        <w:szCs w:val="36"/>
      </w:rPr>
      <w:t>Date of Last Revision</w:t>
    </w:r>
  </w:p>
  <w:p w:rsidR="007C1463" w:rsidRDefault="007C1463">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A88" w:rsidRDefault="00FD4A88">
      <w:r>
        <w:separator/>
      </w:r>
    </w:p>
    <w:p w:rsidR="00FD4A88" w:rsidRDefault="00FD4A88"/>
  </w:footnote>
  <w:footnote w:type="continuationSeparator" w:id="0">
    <w:p w:rsidR="00FD4A88" w:rsidRDefault="00FD4A88">
      <w:r>
        <w:continuationSeparator/>
      </w:r>
    </w:p>
    <w:p w:rsidR="00FD4A88" w:rsidRDefault="00FD4A88"/>
  </w:footnote>
  <w:footnote w:id="1">
    <w:p w:rsidR="007C1463" w:rsidRDefault="007C1463">
      <w:pPr>
        <w:pStyle w:val="FootnoteText"/>
      </w:pPr>
      <w:r>
        <w:rPr>
          <w:rStyle w:val="FootnoteReference"/>
        </w:rPr>
        <w:footnoteRef/>
      </w:r>
      <w:r>
        <w:t xml:space="preserve"> Provide a link to source or embed source in Appendix A of this document.</w:t>
      </w:r>
    </w:p>
  </w:footnote>
  <w:footnote w:id="2">
    <w:p w:rsidR="007C1463" w:rsidRDefault="007C1463" w:rsidP="00BB22C2">
      <w:pPr>
        <w:pStyle w:val="FootnoteText"/>
      </w:pPr>
      <w:r>
        <w:rPr>
          <w:rStyle w:val="FootnoteReference"/>
        </w:rPr>
        <w:footnoteRef/>
      </w:r>
      <w:r>
        <w:t xml:space="preserve"> Provide a link to source or embed source in Appendix A of this document.</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463" w:rsidRDefault="00A61D06">
    <w:pPr>
      <w:pStyle w:val="Header"/>
    </w:pPr>
    <w:r>
      <w:rPr>
        <w:noProof/>
      </w:rPr>
      <w:pict>
        <v:shapetype id="_x0000_t202" coordsize="21600,21600" o:spt="202" path="m0,0l0,21600,21600,21600,21600,0xe">
          <v:stroke joinstyle="miter"/>
          <v:path gradientshapeok="t" o:connecttype="rect"/>
        </v:shapetype>
        <v:shape id="WordArt 5" o:spid="_x0000_s2052" type="#_x0000_t202" style="position:absolute;margin-left:0;margin-top:0;width:435.05pt;height:174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" filled="f" stroked="f">
          <v:stroke joinstyle="round"/>
          <o:lock v:ext="edit" text="t" shapetype="t"/>
          <v:textbox style="mso-fit-shape-to-text:t">
            <w:txbxContent>
              <w:p w:rsidR="007C1463" w:rsidRDefault="007C1463" w:rsidP="005E4D49">
                <w:pPr>
                  <w:pStyle w:val="NormalWeb"/>
                  <w:spacing w:before="0" w:beforeAutospacing="0" w:after="0" w:afterAutospacing="0"/>
                  <w:jc w:val="center"/>
                  <w:rPr>
                    <w:sz w:val="24"/>
                  </w:rPr>
                </w:pPr>
                <w:r>
                  <w:rPr>
                    <w:color w:val="C0C0C0"/>
                    <w:sz w:val="2"/>
                    <w:szCs w:val="2"/>
                  </w:rPr>
                  <w:t>DRAFT</w:t>
                </w:r>
              </w:p>
            </w:txbxContent>
          </v:textbox>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463" w:rsidRDefault="007C1463" w:rsidP="001A573F">
    <w:pPr>
      <w:pStyle w:val="Header"/>
      <w:jc w:val="right"/>
    </w:pPr>
  </w:p>
  <w:p w:rsidR="007C1463" w:rsidRDefault="007C1463" w:rsidP="001A573F">
    <w:pPr>
      <w:pStyle w:val="Header"/>
      <w:jc w:val="right"/>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463" w:rsidRDefault="00A61D06">
    <w:pPr>
      <w:pStyle w:val="Header"/>
    </w:pPr>
    <w:r>
      <w:rPr>
        <w:noProof/>
      </w:rPr>
      <w:pict>
        <v:shapetype id="_x0000_t202" coordsize="21600,21600" o:spt="202" path="m0,0l0,21600,21600,21600,21600,0xe">
          <v:stroke joinstyle="miter"/>
          <v:path gradientshapeok="t" o:connecttype="rect"/>
        </v:shapetype>
        <v:shape id="WordArt 4" o:spid="_x0000_s2051" type="#_x0000_t202" style="position:absolute;margin-left:0;margin-top:0;width:435.05pt;height:174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" filled="f" stroked="f">
          <v:stroke joinstyle="round"/>
          <o:lock v:ext="edit" text="t" shapetype="t"/>
          <v:textbox style="mso-fit-shape-to-text:t">
            <w:txbxContent>
              <w:p w:rsidR="007C1463" w:rsidRDefault="007C1463" w:rsidP="005E4D49">
                <w:pPr>
                  <w:pStyle w:val="NormalWeb"/>
                  <w:spacing w:before="0" w:beforeAutospacing="0" w:after="0" w:afterAutospacing="0"/>
                  <w:jc w:val="center"/>
                  <w:rPr>
                    <w:sz w:val="24"/>
                  </w:rPr>
                </w:pPr>
                <w:r>
                  <w:rPr>
                    <w:color w:val="C0C0C0"/>
                    <w:sz w:val="2"/>
                    <w:szCs w:val="2"/>
                  </w:rPr>
                  <w:t>DRAFT</w:t>
                </w:r>
              </w:p>
            </w:txbxContent>
          </v:textbox>
          <w10:wrap anchorx="margin" anchory="margin"/>
        </v:shape>
      </w:pict>
    </w: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463" w:rsidRDefault="00A61D06">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9264;mso-position-horizontal:center;mso-position-horizontal-relative:margin;mso-position-vertical:center;mso-position-vertical-relative:margin" wrapcoords="21302 2421 14003 2421 13966 2793 14561 4562 14561 8752 11619 2328 11470 1955 10502 9124 8081 3817 7188 2141 7001 2514 5288 2421 4841 2421 4841 2886 5437 4934 5400 6890 3426 3352 2942 2514 223 2421 74 2514 112 3072 670 5586 521 15828 0 16479 74 16572 186 16945 2644 16852 3240 16293 3724 15362 3910 15828 5102 17131 5214 17038 6108 17131 6703 16852 6741 16572 6108 12941 7039 15269 8417 17503 8603 17038 10577 16945 10577 16386 10167 14617 10390 13034 11582 16107 12550 17690 12811 17038 15306 16945 15902 16852 15902 16386 15269 14803 15269 10521 15865 9869 18583 16666 19217 17969 19552 17038 20371 16945 20520 16852 20446 16200 19924 13686 19924 5307 20036 3538 21041 5586 21377 5959 21451 4934 21414 2700 21302 2421" fillcolor="silver" stroked="f">
          <v:fill opacity=".5"/>
          <v:textpath style="font-family:&quot;Times New Roman&quot;;font-size:1pt" string="DRAFT"/>
          <w10:wrap anchorx="margin" anchory="margin"/>
        </v:shape>
      </w:pict>
    </w:r>
  </w:p>
</w:hdr>
</file>

<file path=word/header5.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463" w:rsidRDefault="007C1463" w:rsidP="001A573F">
    <w:pPr>
      <w:pStyle w:val="Header"/>
      <w:jc w:val="right"/>
    </w:pPr>
  </w:p>
  <w:p w:rsidR="007C1463" w:rsidRDefault="007C1463" w:rsidP="001A573F">
    <w:pPr>
      <w:pStyle w:val="Header"/>
      <w:jc w:val="right"/>
    </w:pPr>
  </w:p>
</w:hdr>
</file>

<file path=word/header6.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463" w:rsidRDefault="00A61D06">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60288;mso-position-horizontal:center;mso-position-horizontal-relative:margin;mso-position-vertical:center;mso-position-vertical-relative:margin" wrapcoords="21302 2421 14003 2421 13966 2793 14561 4562 14561 8752 11619 2328 11470 1955 10502 9124 8081 3817 7188 2141 7001 2514 5288 2421 4841 2421 4841 2886 5437 4934 5400 6890 3426 3352 2942 2514 223 2421 74 2514 112 3072 670 5586 521 15828 0 16479 74 16572 186 16945 2644 16852 3240 16293 3724 15362 3910 15828 5102 17131 5214 17038 6108 17131 6703 16852 6741 16572 6108 12941 7039 15269 8417 17503 8603 17038 10577 16945 10577 16386 10167 14617 10390 13034 11582 16107 12550 17690 12811 17038 15306 16945 15902 16852 15902 16386 15269 14803 15269 10521 15865 9869 18583 16666 19217 17969 19552 17038 20371 16945 20520 16852 20446 16200 19924 13686 19924 5307 20036 3538 21041 5586 21377 5959 21451 4934 21414 2700 21302 2421" fillcolor="silver" stroked="f">
          <v:fill opacity=".5"/>
          <v:textpath style="font-family:&quot;Times New Roman&quot;;font-size:1pt" string="DRAFT"/>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317D"/>
    <w:multiLevelType w:val="hybridMultilevel"/>
    <w:tmpl w:val="8910B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362E5"/>
    <w:multiLevelType w:val="hybridMultilevel"/>
    <w:tmpl w:val="C43846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95771F7"/>
    <w:multiLevelType w:val="multilevel"/>
    <w:tmpl w:val="DAB2726C"/>
    <w:lvl w:ilvl="0">
      <w:start w:val="4"/>
      <w:numFmt w:val="decimal"/>
      <w:lvlText w:val="%1"/>
      <w:lvlJc w:val="left"/>
      <w:pPr>
        <w:tabs>
          <w:tab w:val="num" w:pos="900"/>
        </w:tabs>
        <w:ind w:left="900" w:hanging="900"/>
      </w:pPr>
      <w:rPr>
        <w:rFonts w:hint="default"/>
      </w:rPr>
    </w:lvl>
    <w:lvl w:ilvl="1">
      <w:start w:val="3"/>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CAB2999"/>
    <w:multiLevelType w:val="hybridMultilevel"/>
    <w:tmpl w:val="ACA01190"/>
    <w:lvl w:ilvl="0" w:tplc="3E00CF7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nsid w:val="0F957C84"/>
    <w:multiLevelType w:val="multilevel"/>
    <w:tmpl w:val="5E9E346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0012419"/>
    <w:multiLevelType w:val="hybridMultilevel"/>
    <w:tmpl w:val="F80A31A6"/>
    <w:lvl w:ilvl="0" w:tplc="3E00CF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6F0B0B"/>
    <w:multiLevelType w:val="hybridMultilevel"/>
    <w:tmpl w:val="A8649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A02F90"/>
    <w:multiLevelType w:val="hybridMultilevel"/>
    <w:tmpl w:val="CD7A510C"/>
    <w:lvl w:ilvl="0" w:tplc="1788FFB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9F531C"/>
    <w:multiLevelType w:val="multilevel"/>
    <w:tmpl w:val="B6FEA9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A9861C8"/>
    <w:multiLevelType w:val="hybridMultilevel"/>
    <w:tmpl w:val="4BD20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652E7D"/>
    <w:multiLevelType w:val="hybridMultilevel"/>
    <w:tmpl w:val="C9CACF3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64E4676"/>
    <w:multiLevelType w:val="hybridMultilevel"/>
    <w:tmpl w:val="A4060122"/>
    <w:lvl w:ilvl="0" w:tplc="3E00CF7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30EE6405"/>
    <w:multiLevelType w:val="multilevel"/>
    <w:tmpl w:val="5024F02A"/>
    <w:lvl w:ilvl="0">
      <w:start w:val="1"/>
      <w:numFmt w:val="decimal"/>
      <w:lvlText w:val="%1.0"/>
      <w:lvlJc w:val="left"/>
      <w:pPr>
        <w:tabs>
          <w:tab w:val="num" w:pos="540"/>
        </w:tabs>
        <w:ind w:left="540" w:hanging="540"/>
      </w:pPr>
      <w:rPr>
        <w:rFonts w:ascii="Arial" w:hAnsi="Arial" w:hint="default"/>
        <w:b/>
        <w:i w:val="0"/>
        <w:sz w:val="20"/>
      </w:rPr>
    </w:lvl>
    <w:lvl w:ilvl="1">
      <w:start w:val="2"/>
      <w:numFmt w:val="decimal"/>
      <w:lvlText w:val="%1.%2"/>
      <w:lvlJc w:val="left"/>
      <w:pPr>
        <w:tabs>
          <w:tab w:val="num" w:pos="1440"/>
        </w:tabs>
        <w:ind w:left="1440" w:hanging="720"/>
      </w:pPr>
      <w:rPr>
        <w:rFonts w:ascii="Arial" w:hAnsi="Arial" w:hint="default"/>
        <w:b/>
        <w:i/>
        <w:sz w:val="24"/>
      </w:rPr>
    </w:lvl>
    <w:lvl w:ilvl="2">
      <w:start w:val="1"/>
      <w:numFmt w:val="decimal"/>
      <w:lvlText w:val="%1.%2.%3"/>
      <w:lvlJc w:val="left"/>
      <w:pPr>
        <w:tabs>
          <w:tab w:val="num" w:pos="1872"/>
        </w:tabs>
        <w:ind w:left="1872" w:hanging="720"/>
      </w:pPr>
      <w:rPr>
        <w:rFonts w:ascii="Arial" w:hAnsi="Arial" w:hint="default"/>
        <w:b w:val="0"/>
        <w:i w:val="0"/>
        <w:sz w:val="20"/>
      </w:rPr>
    </w:lvl>
    <w:lvl w:ilvl="3">
      <w:start w:val="1"/>
      <w:numFmt w:val="decimal"/>
      <w:lvlText w:val="%1.%2.%3.%4"/>
      <w:lvlJc w:val="left"/>
      <w:pPr>
        <w:tabs>
          <w:tab w:val="num" w:pos="2448"/>
        </w:tabs>
        <w:ind w:left="3600" w:hanging="720"/>
      </w:pPr>
      <w:rPr>
        <w:rFonts w:ascii="Arial" w:hAnsi="Arial" w:hint="default"/>
        <w:b w:val="0"/>
        <w:i w:val="0"/>
        <w:sz w:val="20"/>
      </w:rPr>
    </w:lvl>
    <w:lvl w:ilvl="4">
      <w:start w:val="1"/>
      <w:numFmt w:val="decimal"/>
      <w:lvlText w:val="%1.%2.%3.%4.%5"/>
      <w:lvlJc w:val="left"/>
      <w:pPr>
        <w:tabs>
          <w:tab w:val="num" w:pos="3384"/>
        </w:tabs>
        <w:ind w:left="3384" w:hanging="1080"/>
      </w:pPr>
      <w:rPr>
        <w:rFonts w:ascii="Arial" w:hAnsi="Arial" w:hint="default"/>
        <w:b w:val="0"/>
        <w:i w:val="0"/>
        <w:sz w:val="20"/>
      </w:rPr>
    </w:lvl>
    <w:lvl w:ilvl="5">
      <w:start w:val="1"/>
      <w:numFmt w:val="decimal"/>
      <w:lvlText w:val="%1.%2.%3.%4.%5.%6"/>
      <w:lvlJc w:val="left"/>
      <w:pPr>
        <w:tabs>
          <w:tab w:val="num" w:pos="3960"/>
        </w:tabs>
        <w:ind w:left="3960" w:hanging="1080"/>
      </w:pPr>
      <w:rPr>
        <w:rFonts w:ascii="Arial" w:hAnsi="Arial" w:hint="default"/>
        <w:b w:val="0"/>
        <w:i w:val="0"/>
        <w:sz w:val="20"/>
      </w:rPr>
    </w:lvl>
    <w:lvl w:ilvl="6">
      <w:start w:val="1"/>
      <w:numFmt w:val="decimal"/>
      <w:lvlText w:val="%1.%2.%3.%4.%5.%6.%7"/>
      <w:lvlJc w:val="left"/>
      <w:pPr>
        <w:tabs>
          <w:tab w:val="num" w:pos="4896"/>
        </w:tabs>
        <w:ind w:left="4896" w:hanging="1440"/>
      </w:pPr>
      <w:rPr>
        <w:rFonts w:ascii="Arial" w:hAnsi="Arial" w:hint="default"/>
        <w:b w:val="0"/>
        <w:i w:val="0"/>
        <w:sz w:val="20"/>
      </w:rPr>
    </w:lvl>
    <w:lvl w:ilvl="7">
      <w:start w:val="1"/>
      <w:numFmt w:val="decimal"/>
      <w:lvlText w:val="%1.%2.%3.%4.%5.%6.%7.%8"/>
      <w:lvlJc w:val="left"/>
      <w:pPr>
        <w:tabs>
          <w:tab w:val="num" w:pos="5472"/>
        </w:tabs>
        <w:ind w:left="5472" w:hanging="1440"/>
      </w:pPr>
      <w:rPr>
        <w:rFonts w:ascii="Arial" w:hAnsi="Arial" w:hint="default"/>
        <w:b w:val="0"/>
        <w:i w:val="0"/>
        <w:sz w:val="20"/>
      </w:rPr>
    </w:lvl>
    <w:lvl w:ilvl="8">
      <w:start w:val="1"/>
      <w:numFmt w:val="decimal"/>
      <w:lvlText w:val="%1.%2.%3.%4.%5.%6.%7.%8.%9"/>
      <w:lvlJc w:val="left"/>
      <w:pPr>
        <w:tabs>
          <w:tab w:val="num" w:pos="6048"/>
        </w:tabs>
        <w:ind w:left="6048" w:hanging="1440"/>
      </w:pPr>
      <w:rPr>
        <w:rFonts w:hint="default"/>
      </w:rPr>
    </w:lvl>
  </w:abstractNum>
  <w:abstractNum w:abstractNumId="13">
    <w:nsid w:val="37C24641"/>
    <w:multiLevelType w:val="hybridMultilevel"/>
    <w:tmpl w:val="6A942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053D28"/>
    <w:multiLevelType w:val="hybridMultilevel"/>
    <w:tmpl w:val="FCCA7A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B40FAB"/>
    <w:multiLevelType w:val="hybridMultilevel"/>
    <w:tmpl w:val="1ED6690E"/>
    <w:lvl w:ilvl="0" w:tplc="2A58DB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0907F1"/>
    <w:multiLevelType w:val="hybridMultilevel"/>
    <w:tmpl w:val="920ECDAA"/>
    <w:lvl w:ilvl="0" w:tplc="3E00CF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30D008B"/>
    <w:multiLevelType w:val="hybridMultilevel"/>
    <w:tmpl w:val="EBA816DE"/>
    <w:lvl w:ilvl="0" w:tplc="3E00CF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5C30E50"/>
    <w:multiLevelType w:val="hybridMultilevel"/>
    <w:tmpl w:val="6A9424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1F7FAD"/>
    <w:multiLevelType w:val="hybridMultilevel"/>
    <w:tmpl w:val="EEBE7AFC"/>
    <w:lvl w:ilvl="0" w:tplc="3E00CF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26703DB"/>
    <w:multiLevelType w:val="hybridMultilevel"/>
    <w:tmpl w:val="0B123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3CA334B"/>
    <w:multiLevelType w:val="hybridMultilevel"/>
    <w:tmpl w:val="0890D6B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89A4F17"/>
    <w:multiLevelType w:val="hybridMultilevel"/>
    <w:tmpl w:val="DFDA72E6"/>
    <w:lvl w:ilvl="0" w:tplc="3E00CF7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3">
    <w:nsid w:val="58A6335E"/>
    <w:multiLevelType w:val="hybridMultilevel"/>
    <w:tmpl w:val="07E0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CA4944"/>
    <w:multiLevelType w:val="hybridMultilevel"/>
    <w:tmpl w:val="A7B67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A142F7"/>
    <w:multiLevelType w:val="hybridMultilevel"/>
    <w:tmpl w:val="94A4F080"/>
    <w:lvl w:ilvl="0" w:tplc="3E00CF7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2D26190"/>
    <w:multiLevelType w:val="hybridMultilevel"/>
    <w:tmpl w:val="6A942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B12F02"/>
    <w:multiLevelType w:val="hybridMultilevel"/>
    <w:tmpl w:val="2A68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715229"/>
    <w:multiLevelType w:val="hybridMultilevel"/>
    <w:tmpl w:val="55003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7A2EAD"/>
    <w:multiLevelType w:val="hybridMultilevel"/>
    <w:tmpl w:val="356A917E"/>
    <w:lvl w:ilvl="0" w:tplc="43F46C3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820856"/>
    <w:multiLevelType w:val="singleLevel"/>
    <w:tmpl w:val="6C78A414"/>
    <w:lvl w:ilvl="0">
      <w:start w:val="1"/>
      <w:numFmt w:val="decimal"/>
      <w:lvlText w:val="%1."/>
      <w:legacy w:legacy="1" w:legacySpace="0" w:legacyIndent="0"/>
      <w:lvlJc w:val="left"/>
    </w:lvl>
  </w:abstractNum>
  <w:abstractNum w:abstractNumId="31">
    <w:nsid w:val="7A5A1F45"/>
    <w:multiLevelType w:val="hybridMultilevel"/>
    <w:tmpl w:val="925AFFC0"/>
    <w:lvl w:ilvl="0" w:tplc="3E00CF7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3D28A2"/>
    <w:multiLevelType w:val="hybridMultilevel"/>
    <w:tmpl w:val="C152E9A0"/>
    <w:lvl w:ilvl="0" w:tplc="3E00CF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6"/>
  </w:num>
  <w:num w:numId="4">
    <w:abstractNumId w:val="10"/>
  </w:num>
  <w:num w:numId="5">
    <w:abstractNumId w:val="30"/>
  </w:num>
  <w:num w:numId="6">
    <w:abstractNumId w:val="12"/>
  </w:num>
  <w:num w:numId="7">
    <w:abstractNumId w:val="8"/>
  </w:num>
  <w:num w:numId="8">
    <w:abstractNumId w:val="16"/>
  </w:num>
  <w:num w:numId="9">
    <w:abstractNumId w:val="11"/>
  </w:num>
  <w:num w:numId="10">
    <w:abstractNumId w:val="3"/>
  </w:num>
  <w:num w:numId="11">
    <w:abstractNumId w:val="22"/>
  </w:num>
  <w:num w:numId="12">
    <w:abstractNumId w:val="25"/>
  </w:num>
  <w:num w:numId="13">
    <w:abstractNumId w:val="5"/>
  </w:num>
  <w:num w:numId="14">
    <w:abstractNumId w:val="32"/>
  </w:num>
  <w:num w:numId="15">
    <w:abstractNumId w:val="17"/>
  </w:num>
  <w:num w:numId="16">
    <w:abstractNumId w:val="19"/>
  </w:num>
  <w:num w:numId="17">
    <w:abstractNumId w:val="2"/>
  </w:num>
  <w:num w:numId="18">
    <w:abstractNumId w:val="31"/>
  </w:num>
  <w:num w:numId="19">
    <w:abstractNumId w:val="27"/>
  </w:num>
  <w:num w:numId="20">
    <w:abstractNumId w:val="28"/>
  </w:num>
  <w:num w:numId="21">
    <w:abstractNumId w:val="23"/>
  </w:num>
  <w:num w:numId="22">
    <w:abstractNumId w:val="29"/>
  </w:num>
  <w:num w:numId="23">
    <w:abstractNumId w:val="24"/>
  </w:num>
  <w:num w:numId="24">
    <w:abstractNumId w:val="18"/>
  </w:num>
  <w:num w:numId="25">
    <w:abstractNumId w:val="13"/>
  </w:num>
  <w:num w:numId="26">
    <w:abstractNumId w:val="26"/>
  </w:num>
  <w:num w:numId="27">
    <w:abstractNumId w:val="7"/>
  </w:num>
  <w:num w:numId="28">
    <w:abstractNumId w:val="9"/>
  </w:num>
  <w:num w:numId="29">
    <w:abstractNumId w:val="0"/>
  </w:num>
  <w:num w:numId="30">
    <w:abstractNumId w:val="15"/>
  </w:num>
  <w:num w:numId="31">
    <w:abstractNumId w:val="1"/>
  </w:num>
  <w:num w:numId="32">
    <w:abstractNumId w:val="20"/>
  </w:num>
  <w:num w:numId="33">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701"/>
  <w:doNotTrackMoves/>
  <w:defaultTabStop w:val="720"/>
  <w:noPunctuationKerning/>
  <w:characterSpacingControl w:val="doNotCompress"/>
  <w:hdrShapeDefaults>
    <o:shapedefaults v:ext="edit" spidmax="2057"/>
    <o:shapelayout v:ext="edit">
      <o:idmap v:ext="edit" data="2"/>
    </o:shapelayout>
  </w:hdrShapeDefaults>
  <w:footnotePr>
    <w:footnote w:id="-1"/>
    <w:footnote w:id="0"/>
  </w:footnotePr>
  <w:endnotePr>
    <w:numFmt w:val="decimal"/>
    <w:endnote w:id="-1"/>
    <w:endnote w:id="0"/>
  </w:endnotePr>
  <w:compat/>
  <w:rsids>
    <w:rsidRoot w:val="00E71EF1"/>
    <w:rsid w:val="00002F4F"/>
    <w:rsid w:val="00003527"/>
    <w:rsid w:val="00005E70"/>
    <w:rsid w:val="000118A4"/>
    <w:rsid w:val="00012F86"/>
    <w:rsid w:val="00012FC5"/>
    <w:rsid w:val="00014740"/>
    <w:rsid w:val="000170B5"/>
    <w:rsid w:val="00017488"/>
    <w:rsid w:val="00020042"/>
    <w:rsid w:val="0002129F"/>
    <w:rsid w:val="00024AA9"/>
    <w:rsid w:val="0002670C"/>
    <w:rsid w:val="00026F78"/>
    <w:rsid w:val="000272C2"/>
    <w:rsid w:val="0003064A"/>
    <w:rsid w:val="00032B63"/>
    <w:rsid w:val="000351CB"/>
    <w:rsid w:val="000374A5"/>
    <w:rsid w:val="00037D0E"/>
    <w:rsid w:val="00044124"/>
    <w:rsid w:val="00044570"/>
    <w:rsid w:val="00056348"/>
    <w:rsid w:val="000571F6"/>
    <w:rsid w:val="00057C09"/>
    <w:rsid w:val="00063FA7"/>
    <w:rsid w:val="0006490F"/>
    <w:rsid w:val="00065A01"/>
    <w:rsid w:val="00066D5B"/>
    <w:rsid w:val="000678A2"/>
    <w:rsid w:val="00067EB5"/>
    <w:rsid w:val="000701EB"/>
    <w:rsid w:val="000719AA"/>
    <w:rsid w:val="000749EA"/>
    <w:rsid w:val="0007589E"/>
    <w:rsid w:val="00077161"/>
    <w:rsid w:val="000814B9"/>
    <w:rsid w:val="000842B9"/>
    <w:rsid w:val="00085DF5"/>
    <w:rsid w:val="00086594"/>
    <w:rsid w:val="00086F2F"/>
    <w:rsid w:val="00087378"/>
    <w:rsid w:val="00094D57"/>
    <w:rsid w:val="00095361"/>
    <w:rsid w:val="00095610"/>
    <w:rsid w:val="000966CC"/>
    <w:rsid w:val="00096BDF"/>
    <w:rsid w:val="000A17BE"/>
    <w:rsid w:val="000A2ABA"/>
    <w:rsid w:val="000A2FB3"/>
    <w:rsid w:val="000A48F2"/>
    <w:rsid w:val="000A4BCA"/>
    <w:rsid w:val="000A5741"/>
    <w:rsid w:val="000A5968"/>
    <w:rsid w:val="000B043F"/>
    <w:rsid w:val="000B0B1E"/>
    <w:rsid w:val="000B7D19"/>
    <w:rsid w:val="000C0FD3"/>
    <w:rsid w:val="000C5B2D"/>
    <w:rsid w:val="000C6D7B"/>
    <w:rsid w:val="000C7F39"/>
    <w:rsid w:val="000D17B9"/>
    <w:rsid w:val="000D4BA1"/>
    <w:rsid w:val="000D5482"/>
    <w:rsid w:val="000E132D"/>
    <w:rsid w:val="000E22C9"/>
    <w:rsid w:val="000E31B5"/>
    <w:rsid w:val="000F0069"/>
    <w:rsid w:val="000F11DD"/>
    <w:rsid w:val="000F13C6"/>
    <w:rsid w:val="000F53E6"/>
    <w:rsid w:val="001032F2"/>
    <w:rsid w:val="001065EB"/>
    <w:rsid w:val="00113464"/>
    <w:rsid w:val="00115EB1"/>
    <w:rsid w:val="001178BE"/>
    <w:rsid w:val="0012176A"/>
    <w:rsid w:val="00121A22"/>
    <w:rsid w:val="00121D95"/>
    <w:rsid w:val="00122F79"/>
    <w:rsid w:val="001248A3"/>
    <w:rsid w:val="00124F32"/>
    <w:rsid w:val="00126483"/>
    <w:rsid w:val="00126A4E"/>
    <w:rsid w:val="00127CC8"/>
    <w:rsid w:val="0013046A"/>
    <w:rsid w:val="0013080C"/>
    <w:rsid w:val="0013087E"/>
    <w:rsid w:val="00133198"/>
    <w:rsid w:val="00133C60"/>
    <w:rsid w:val="00136D56"/>
    <w:rsid w:val="00140BEF"/>
    <w:rsid w:val="00146434"/>
    <w:rsid w:val="001465B1"/>
    <w:rsid w:val="00150E0C"/>
    <w:rsid w:val="00150EC7"/>
    <w:rsid w:val="00155EF5"/>
    <w:rsid w:val="00167F2B"/>
    <w:rsid w:val="0017179F"/>
    <w:rsid w:val="001719B8"/>
    <w:rsid w:val="00172149"/>
    <w:rsid w:val="00175673"/>
    <w:rsid w:val="00176431"/>
    <w:rsid w:val="00183C8E"/>
    <w:rsid w:val="00187CF8"/>
    <w:rsid w:val="00192B77"/>
    <w:rsid w:val="001946B1"/>
    <w:rsid w:val="00194E14"/>
    <w:rsid w:val="0019648A"/>
    <w:rsid w:val="001965AF"/>
    <w:rsid w:val="00196D7C"/>
    <w:rsid w:val="00197A23"/>
    <w:rsid w:val="001A3026"/>
    <w:rsid w:val="001A4516"/>
    <w:rsid w:val="001A550C"/>
    <w:rsid w:val="001A573F"/>
    <w:rsid w:val="001A64C6"/>
    <w:rsid w:val="001A7081"/>
    <w:rsid w:val="001A70AD"/>
    <w:rsid w:val="001A73E3"/>
    <w:rsid w:val="001B238D"/>
    <w:rsid w:val="001B242B"/>
    <w:rsid w:val="001B3E74"/>
    <w:rsid w:val="001B4ACB"/>
    <w:rsid w:val="001B5E15"/>
    <w:rsid w:val="001B75E6"/>
    <w:rsid w:val="001B792D"/>
    <w:rsid w:val="001C0219"/>
    <w:rsid w:val="001C0CB0"/>
    <w:rsid w:val="001C1C10"/>
    <w:rsid w:val="001C2942"/>
    <w:rsid w:val="001C63A2"/>
    <w:rsid w:val="001D0B16"/>
    <w:rsid w:val="001D11CE"/>
    <w:rsid w:val="001D16C2"/>
    <w:rsid w:val="001D2C8F"/>
    <w:rsid w:val="001D3F48"/>
    <w:rsid w:val="001D483C"/>
    <w:rsid w:val="001E4C31"/>
    <w:rsid w:val="001E7CA0"/>
    <w:rsid w:val="001F4083"/>
    <w:rsid w:val="001F60D5"/>
    <w:rsid w:val="001F627F"/>
    <w:rsid w:val="001F7023"/>
    <w:rsid w:val="00200174"/>
    <w:rsid w:val="0020604B"/>
    <w:rsid w:val="00211BAC"/>
    <w:rsid w:val="002154B2"/>
    <w:rsid w:val="002170D6"/>
    <w:rsid w:val="00220370"/>
    <w:rsid w:val="002203EA"/>
    <w:rsid w:val="0022055B"/>
    <w:rsid w:val="0022067C"/>
    <w:rsid w:val="002207C3"/>
    <w:rsid w:val="0022428B"/>
    <w:rsid w:val="00225340"/>
    <w:rsid w:val="002257FA"/>
    <w:rsid w:val="00235694"/>
    <w:rsid w:val="0024233E"/>
    <w:rsid w:val="00243BAC"/>
    <w:rsid w:val="00243BC2"/>
    <w:rsid w:val="00244BD6"/>
    <w:rsid w:val="00245A56"/>
    <w:rsid w:val="002461C8"/>
    <w:rsid w:val="002466F4"/>
    <w:rsid w:val="00251E83"/>
    <w:rsid w:val="00252352"/>
    <w:rsid w:val="00255067"/>
    <w:rsid w:val="002570CF"/>
    <w:rsid w:val="0025738E"/>
    <w:rsid w:val="00257989"/>
    <w:rsid w:val="002628B9"/>
    <w:rsid w:val="00264B03"/>
    <w:rsid w:val="0027474D"/>
    <w:rsid w:val="00274A7E"/>
    <w:rsid w:val="00276918"/>
    <w:rsid w:val="00276CD0"/>
    <w:rsid w:val="00276ED1"/>
    <w:rsid w:val="002775AB"/>
    <w:rsid w:val="0027792C"/>
    <w:rsid w:val="00281040"/>
    <w:rsid w:val="002837E9"/>
    <w:rsid w:val="00283CA0"/>
    <w:rsid w:val="00285AF5"/>
    <w:rsid w:val="0028709C"/>
    <w:rsid w:val="00291D75"/>
    <w:rsid w:val="0029206E"/>
    <w:rsid w:val="00295B67"/>
    <w:rsid w:val="002963C1"/>
    <w:rsid w:val="002A2C2E"/>
    <w:rsid w:val="002A4B6C"/>
    <w:rsid w:val="002A669E"/>
    <w:rsid w:val="002A6912"/>
    <w:rsid w:val="002A750B"/>
    <w:rsid w:val="002B0ECF"/>
    <w:rsid w:val="002B4FEF"/>
    <w:rsid w:val="002B665F"/>
    <w:rsid w:val="002B7C2D"/>
    <w:rsid w:val="002C12FA"/>
    <w:rsid w:val="002C21F9"/>
    <w:rsid w:val="002C26EB"/>
    <w:rsid w:val="002C321E"/>
    <w:rsid w:val="002C42E0"/>
    <w:rsid w:val="002C4F1C"/>
    <w:rsid w:val="002C518C"/>
    <w:rsid w:val="002C7B46"/>
    <w:rsid w:val="002D0F51"/>
    <w:rsid w:val="002D1ED3"/>
    <w:rsid w:val="002D27DC"/>
    <w:rsid w:val="002D4621"/>
    <w:rsid w:val="002D4A61"/>
    <w:rsid w:val="002E0043"/>
    <w:rsid w:val="002E256D"/>
    <w:rsid w:val="002E2E3C"/>
    <w:rsid w:val="002E40A2"/>
    <w:rsid w:val="002E47B4"/>
    <w:rsid w:val="002E4B46"/>
    <w:rsid w:val="002E5671"/>
    <w:rsid w:val="002E6162"/>
    <w:rsid w:val="002F105C"/>
    <w:rsid w:val="002F2D19"/>
    <w:rsid w:val="002F341A"/>
    <w:rsid w:val="002F3610"/>
    <w:rsid w:val="002F3FE5"/>
    <w:rsid w:val="002F4E8C"/>
    <w:rsid w:val="0030080B"/>
    <w:rsid w:val="0030114D"/>
    <w:rsid w:val="00302B74"/>
    <w:rsid w:val="003032B7"/>
    <w:rsid w:val="0030550A"/>
    <w:rsid w:val="003129E8"/>
    <w:rsid w:val="00313CF3"/>
    <w:rsid w:val="00314FE6"/>
    <w:rsid w:val="0031542A"/>
    <w:rsid w:val="00315AB7"/>
    <w:rsid w:val="00316F6C"/>
    <w:rsid w:val="003216E6"/>
    <w:rsid w:val="00322F50"/>
    <w:rsid w:val="00324AFE"/>
    <w:rsid w:val="00324D0F"/>
    <w:rsid w:val="003259CD"/>
    <w:rsid w:val="0032657A"/>
    <w:rsid w:val="00333489"/>
    <w:rsid w:val="00333E01"/>
    <w:rsid w:val="00335017"/>
    <w:rsid w:val="003408A4"/>
    <w:rsid w:val="00340DAD"/>
    <w:rsid w:val="00340DC8"/>
    <w:rsid w:val="00343105"/>
    <w:rsid w:val="00344739"/>
    <w:rsid w:val="00345971"/>
    <w:rsid w:val="00345DE6"/>
    <w:rsid w:val="0034647B"/>
    <w:rsid w:val="00350382"/>
    <w:rsid w:val="0035072D"/>
    <w:rsid w:val="00353DC2"/>
    <w:rsid w:val="003541A6"/>
    <w:rsid w:val="00354568"/>
    <w:rsid w:val="00362067"/>
    <w:rsid w:val="003629B7"/>
    <w:rsid w:val="003743E3"/>
    <w:rsid w:val="00374640"/>
    <w:rsid w:val="00377407"/>
    <w:rsid w:val="0038391A"/>
    <w:rsid w:val="00390A78"/>
    <w:rsid w:val="003928AE"/>
    <w:rsid w:val="00392B5E"/>
    <w:rsid w:val="00392C05"/>
    <w:rsid w:val="00393618"/>
    <w:rsid w:val="00393D41"/>
    <w:rsid w:val="003941B5"/>
    <w:rsid w:val="00395845"/>
    <w:rsid w:val="003A1B51"/>
    <w:rsid w:val="003A648E"/>
    <w:rsid w:val="003A66D0"/>
    <w:rsid w:val="003A6CE0"/>
    <w:rsid w:val="003A7230"/>
    <w:rsid w:val="003B384E"/>
    <w:rsid w:val="003B51DE"/>
    <w:rsid w:val="003B6B5B"/>
    <w:rsid w:val="003C27C4"/>
    <w:rsid w:val="003C3A3C"/>
    <w:rsid w:val="003C48C5"/>
    <w:rsid w:val="003C4BA9"/>
    <w:rsid w:val="003C5980"/>
    <w:rsid w:val="003C599C"/>
    <w:rsid w:val="003C6DFA"/>
    <w:rsid w:val="003C73D8"/>
    <w:rsid w:val="003D04BC"/>
    <w:rsid w:val="003D298F"/>
    <w:rsid w:val="003D36AD"/>
    <w:rsid w:val="003D3F36"/>
    <w:rsid w:val="003D5191"/>
    <w:rsid w:val="003D60B8"/>
    <w:rsid w:val="003E15A5"/>
    <w:rsid w:val="003E24CE"/>
    <w:rsid w:val="003E2A8B"/>
    <w:rsid w:val="003E3441"/>
    <w:rsid w:val="003E3941"/>
    <w:rsid w:val="003E540D"/>
    <w:rsid w:val="003E7422"/>
    <w:rsid w:val="003E7CF9"/>
    <w:rsid w:val="003E7D3D"/>
    <w:rsid w:val="003E7E0A"/>
    <w:rsid w:val="003F0CBE"/>
    <w:rsid w:val="003F3179"/>
    <w:rsid w:val="003F3DED"/>
    <w:rsid w:val="003F4A0E"/>
    <w:rsid w:val="003F57BD"/>
    <w:rsid w:val="003F5B70"/>
    <w:rsid w:val="004018B3"/>
    <w:rsid w:val="0040323C"/>
    <w:rsid w:val="004039A9"/>
    <w:rsid w:val="00403B19"/>
    <w:rsid w:val="00403FBE"/>
    <w:rsid w:val="00406EDD"/>
    <w:rsid w:val="004078BB"/>
    <w:rsid w:val="0041339D"/>
    <w:rsid w:val="0041365D"/>
    <w:rsid w:val="00415754"/>
    <w:rsid w:val="004162E3"/>
    <w:rsid w:val="00421ED8"/>
    <w:rsid w:val="0042297B"/>
    <w:rsid w:val="00422E41"/>
    <w:rsid w:val="00422F19"/>
    <w:rsid w:val="00423B48"/>
    <w:rsid w:val="00425FE9"/>
    <w:rsid w:val="00427131"/>
    <w:rsid w:val="004279EA"/>
    <w:rsid w:val="00430775"/>
    <w:rsid w:val="00430F5B"/>
    <w:rsid w:val="004323E9"/>
    <w:rsid w:val="00432C65"/>
    <w:rsid w:val="004339ED"/>
    <w:rsid w:val="00433B89"/>
    <w:rsid w:val="00435E41"/>
    <w:rsid w:val="00436F7E"/>
    <w:rsid w:val="00437947"/>
    <w:rsid w:val="00437BE1"/>
    <w:rsid w:val="0044128D"/>
    <w:rsid w:val="004419D3"/>
    <w:rsid w:val="00442366"/>
    <w:rsid w:val="0044337C"/>
    <w:rsid w:val="00445790"/>
    <w:rsid w:val="00450273"/>
    <w:rsid w:val="004509A5"/>
    <w:rsid w:val="00453CE7"/>
    <w:rsid w:val="004551F3"/>
    <w:rsid w:val="00455856"/>
    <w:rsid w:val="004563F1"/>
    <w:rsid w:val="004602EC"/>
    <w:rsid w:val="004617A6"/>
    <w:rsid w:val="00467FE9"/>
    <w:rsid w:val="00474025"/>
    <w:rsid w:val="00475AFA"/>
    <w:rsid w:val="00476189"/>
    <w:rsid w:val="00476B0B"/>
    <w:rsid w:val="0048008C"/>
    <w:rsid w:val="004809C9"/>
    <w:rsid w:val="00480BAD"/>
    <w:rsid w:val="00480C7E"/>
    <w:rsid w:val="0048171E"/>
    <w:rsid w:val="00481EE4"/>
    <w:rsid w:val="00481F63"/>
    <w:rsid w:val="00486CF9"/>
    <w:rsid w:val="00487A47"/>
    <w:rsid w:val="00487D95"/>
    <w:rsid w:val="00491A62"/>
    <w:rsid w:val="00492048"/>
    <w:rsid w:val="004959B4"/>
    <w:rsid w:val="004967A2"/>
    <w:rsid w:val="00497CD3"/>
    <w:rsid w:val="004A19C7"/>
    <w:rsid w:val="004A2D46"/>
    <w:rsid w:val="004A3A35"/>
    <w:rsid w:val="004A4716"/>
    <w:rsid w:val="004A6FCA"/>
    <w:rsid w:val="004B0F48"/>
    <w:rsid w:val="004B2CFB"/>
    <w:rsid w:val="004B4489"/>
    <w:rsid w:val="004C2E63"/>
    <w:rsid w:val="004C4E2A"/>
    <w:rsid w:val="004C56D1"/>
    <w:rsid w:val="004D2C76"/>
    <w:rsid w:val="004D58D5"/>
    <w:rsid w:val="004D71AF"/>
    <w:rsid w:val="004D7301"/>
    <w:rsid w:val="004E275B"/>
    <w:rsid w:val="004E2777"/>
    <w:rsid w:val="004F1DB8"/>
    <w:rsid w:val="004F21BC"/>
    <w:rsid w:val="004F3EDB"/>
    <w:rsid w:val="004F55EC"/>
    <w:rsid w:val="004F61DD"/>
    <w:rsid w:val="00502569"/>
    <w:rsid w:val="0050293B"/>
    <w:rsid w:val="00506204"/>
    <w:rsid w:val="00506E05"/>
    <w:rsid w:val="00511171"/>
    <w:rsid w:val="00511B05"/>
    <w:rsid w:val="005136CC"/>
    <w:rsid w:val="00513858"/>
    <w:rsid w:val="00514B37"/>
    <w:rsid w:val="00514EEC"/>
    <w:rsid w:val="00515FEB"/>
    <w:rsid w:val="00517432"/>
    <w:rsid w:val="00520400"/>
    <w:rsid w:val="00521874"/>
    <w:rsid w:val="00521920"/>
    <w:rsid w:val="005246B1"/>
    <w:rsid w:val="00530B04"/>
    <w:rsid w:val="00533BD0"/>
    <w:rsid w:val="00534386"/>
    <w:rsid w:val="0053683E"/>
    <w:rsid w:val="00537B0D"/>
    <w:rsid w:val="005403E8"/>
    <w:rsid w:val="00540CF1"/>
    <w:rsid w:val="00540D0B"/>
    <w:rsid w:val="00542990"/>
    <w:rsid w:val="00542A98"/>
    <w:rsid w:val="00544873"/>
    <w:rsid w:val="005453C5"/>
    <w:rsid w:val="0054599C"/>
    <w:rsid w:val="00545A84"/>
    <w:rsid w:val="00551EF3"/>
    <w:rsid w:val="00554084"/>
    <w:rsid w:val="00557E24"/>
    <w:rsid w:val="00560593"/>
    <w:rsid w:val="00560E6F"/>
    <w:rsid w:val="0056163A"/>
    <w:rsid w:val="00562217"/>
    <w:rsid w:val="00563BE5"/>
    <w:rsid w:val="00567397"/>
    <w:rsid w:val="0057221C"/>
    <w:rsid w:val="00573FE5"/>
    <w:rsid w:val="00574FBD"/>
    <w:rsid w:val="00576106"/>
    <w:rsid w:val="005773BB"/>
    <w:rsid w:val="005834A4"/>
    <w:rsid w:val="00585C83"/>
    <w:rsid w:val="0058652B"/>
    <w:rsid w:val="00586604"/>
    <w:rsid w:val="00587DDD"/>
    <w:rsid w:val="00591FDD"/>
    <w:rsid w:val="0059281F"/>
    <w:rsid w:val="00594BF0"/>
    <w:rsid w:val="005A1F9D"/>
    <w:rsid w:val="005A269A"/>
    <w:rsid w:val="005A3798"/>
    <w:rsid w:val="005A67E5"/>
    <w:rsid w:val="005A7302"/>
    <w:rsid w:val="005B00A6"/>
    <w:rsid w:val="005C03C5"/>
    <w:rsid w:val="005C14FF"/>
    <w:rsid w:val="005C2844"/>
    <w:rsid w:val="005C3718"/>
    <w:rsid w:val="005C7F3F"/>
    <w:rsid w:val="005D1877"/>
    <w:rsid w:val="005D6266"/>
    <w:rsid w:val="005E2187"/>
    <w:rsid w:val="005E4D49"/>
    <w:rsid w:val="005E4FE9"/>
    <w:rsid w:val="005F19E0"/>
    <w:rsid w:val="005F3E96"/>
    <w:rsid w:val="005F57B5"/>
    <w:rsid w:val="005F7AA1"/>
    <w:rsid w:val="00604FAE"/>
    <w:rsid w:val="00607605"/>
    <w:rsid w:val="0061001E"/>
    <w:rsid w:val="00610B3C"/>
    <w:rsid w:val="00610FC6"/>
    <w:rsid w:val="00622319"/>
    <w:rsid w:val="00622683"/>
    <w:rsid w:val="00623394"/>
    <w:rsid w:val="00623A38"/>
    <w:rsid w:val="00623BA1"/>
    <w:rsid w:val="00623C70"/>
    <w:rsid w:val="0062416A"/>
    <w:rsid w:val="00625FB3"/>
    <w:rsid w:val="00626129"/>
    <w:rsid w:val="00632825"/>
    <w:rsid w:val="00632A52"/>
    <w:rsid w:val="00633A9C"/>
    <w:rsid w:val="00634414"/>
    <w:rsid w:val="00636012"/>
    <w:rsid w:val="00636987"/>
    <w:rsid w:val="00640BB6"/>
    <w:rsid w:val="0064211E"/>
    <w:rsid w:val="00642FCD"/>
    <w:rsid w:val="006433B2"/>
    <w:rsid w:val="00644D17"/>
    <w:rsid w:val="00645027"/>
    <w:rsid w:val="0064609B"/>
    <w:rsid w:val="00652DD9"/>
    <w:rsid w:val="006559C8"/>
    <w:rsid w:val="00657405"/>
    <w:rsid w:val="006574FE"/>
    <w:rsid w:val="006605C2"/>
    <w:rsid w:val="00661864"/>
    <w:rsid w:val="00663A00"/>
    <w:rsid w:val="00664FA6"/>
    <w:rsid w:val="00665965"/>
    <w:rsid w:val="0066632E"/>
    <w:rsid w:val="0067178A"/>
    <w:rsid w:val="00671943"/>
    <w:rsid w:val="00673682"/>
    <w:rsid w:val="00674939"/>
    <w:rsid w:val="006832A4"/>
    <w:rsid w:val="006846E9"/>
    <w:rsid w:val="0068481A"/>
    <w:rsid w:val="00686FF1"/>
    <w:rsid w:val="006872DB"/>
    <w:rsid w:val="0069304B"/>
    <w:rsid w:val="00695ED2"/>
    <w:rsid w:val="006968B4"/>
    <w:rsid w:val="006A1022"/>
    <w:rsid w:val="006A1A83"/>
    <w:rsid w:val="006A2C4B"/>
    <w:rsid w:val="006A2FAC"/>
    <w:rsid w:val="006A4958"/>
    <w:rsid w:val="006A541C"/>
    <w:rsid w:val="006A55D2"/>
    <w:rsid w:val="006B42B8"/>
    <w:rsid w:val="006B4563"/>
    <w:rsid w:val="006B6104"/>
    <w:rsid w:val="006B763D"/>
    <w:rsid w:val="006B7EDD"/>
    <w:rsid w:val="006C44B4"/>
    <w:rsid w:val="006D0365"/>
    <w:rsid w:val="006D0A00"/>
    <w:rsid w:val="006D2068"/>
    <w:rsid w:val="006D3725"/>
    <w:rsid w:val="006D4AE1"/>
    <w:rsid w:val="006D52D8"/>
    <w:rsid w:val="006D5AAB"/>
    <w:rsid w:val="006D78DC"/>
    <w:rsid w:val="006E0111"/>
    <w:rsid w:val="006E173A"/>
    <w:rsid w:val="006E3C13"/>
    <w:rsid w:val="006E5CB6"/>
    <w:rsid w:val="006F0139"/>
    <w:rsid w:val="006F214B"/>
    <w:rsid w:val="006F28C7"/>
    <w:rsid w:val="006F6281"/>
    <w:rsid w:val="007001DD"/>
    <w:rsid w:val="0070443C"/>
    <w:rsid w:val="00712407"/>
    <w:rsid w:val="00712477"/>
    <w:rsid w:val="00717AE6"/>
    <w:rsid w:val="00717D1D"/>
    <w:rsid w:val="00721A54"/>
    <w:rsid w:val="00721C75"/>
    <w:rsid w:val="007228DB"/>
    <w:rsid w:val="00723862"/>
    <w:rsid w:val="00724226"/>
    <w:rsid w:val="00730F7C"/>
    <w:rsid w:val="00731859"/>
    <w:rsid w:val="00732CF5"/>
    <w:rsid w:val="00733275"/>
    <w:rsid w:val="00735A4C"/>
    <w:rsid w:val="00735CB1"/>
    <w:rsid w:val="00741DF0"/>
    <w:rsid w:val="00741F74"/>
    <w:rsid w:val="00742E8A"/>
    <w:rsid w:val="007431B7"/>
    <w:rsid w:val="00745482"/>
    <w:rsid w:val="0074677C"/>
    <w:rsid w:val="00746DDC"/>
    <w:rsid w:val="007475AA"/>
    <w:rsid w:val="0075061C"/>
    <w:rsid w:val="007507E2"/>
    <w:rsid w:val="00751FAC"/>
    <w:rsid w:val="00754D25"/>
    <w:rsid w:val="00755961"/>
    <w:rsid w:val="00756A18"/>
    <w:rsid w:val="00757590"/>
    <w:rsid w:val="00761007"/>
    <w:rsid w:val="00762F0E"/>
    <w:rsid w:val="00764665"/>
    <w:rsid w:val="007652CE"/>
    <w:rsid w:val="00765936"/>
    <w:rsid w:val="0077416A"/>
    <w:rsid w:val="00775C7E"/>
    <w:rsid w:val="0077706D"/>
    <w:rsid w:val="00777C1F"/>
    <w:rsid w:val="00781316"/>
    <w:rsid w:val="00781E00"/>
    <w:rsid w:val="007821CF"/>
    <w:rsid w:val="00783DAC"/>
    <w:rsid w:val="00784500"/>
    <w:rsid w:val="00785112"/>
    <w:rsid w:val="00786700"/>
    <w:rsid w:val="007873CE"/>
    <w:rsid w:val="007878B9"/>
    <w:rsid w:val="00790C15"/>
    <w:rsid w:val="007931BC"/>
    <w:rsid w:val="00793646"/>
    <w:rsid w:val="0079521E"/>
    <w:rsid w:val="00796071"/>
    <w:rsid w:val="007A0C2E"/>
    <w:rsid w:val="007A1510"/>
    <w:rsid w:val="007A4D97"/>
    <w:rsid w:val="007A768C"/>
    <w:rsid w:val="007B2CAC"/>
    <w:rsid w:val="007B2E26"/>
    <w:rsid w:val="007B44FB"/>
    <w:rsid w:val="007B6564"/>
    <w:rsid w:val="007B670B"/>
    <w:rsid w:val="007C0E38"/>
    <w:rsid w:val="007C1463"/>
    <w:rsid w:val="007C18E3"/>
    <w:rsid w:val="007C4E08"/>
    <w:rsid w:val="007D0411"/>
    <w:rsid w:val="007D08C2"/>
    <w:rsid w:val="007D2F4C"/>
    <w:rsid w:val="007D3DFF"/>
    <w:rsid w:val="007D3F38"/>
    <w:rsid w:val="007D4DB8"/>
    <w:rsid w:val="007D5456"/>
    <w:rsid w:val="007D7677"/>
    <w:rsid w:val="007E2197"/>
    <w:rsid w:val="007E2953"/>
    <w:rsid w:val="007E3304"/>
    <w:rsid w:val="007E6C79"/>
    <w:rsid w:val="007F121B"/>
    <w:rsid w:val="007F12ED"/>
    <w:rsid w:val="007F1E48"/>
    <w:rsid w:val="007F2147"/>
    <w:rsid w:val="007F36E9"/>
    <w:rsid w:val="007F4605"/>
    <w:rsid w:val="007F6C7D"/>
    <w:rsid w:val="008026F6"/>
    <w:rsid w:val="00802C18"/>
    <w:rsid w:val="00803F84"/>
    <w:rsid w:val="008056EC"/>
    <w:rsid w:val="00806070"/>
    <w:rsid w:val="00806EE8"/>
    <w:rsid w:val="00811D89"/>
    <w:rsid w:val="00814500"/>
    <w:rsid w:val="00822081"/>
    <w:rsid w:val="00822F77"/>
    <w:rsid w:val="008257F2"/>
    <w:rsid w:val="00826F22"/>
    <w:rsid w:val="00833AF7"/>
    <w:rsid w:val="00834023"/>
    <w:rsid w:val="00835579"/>
    <w:rsid w:val="00836F9B"/>
    <w:rsid w:val="00844106"/>
    <w:rsid w:val="00844B27"/>
    <w:rsid w:val="00844D29"/>
    <w:rsid w:val="00846195"/>
    <w:rsid w:val="00846FA0"/>
    <w:rsid w:val="008479B6"/>
    <w:rsid w:val="0085197D"/>
    <w:rsid w:val="00851ABA"/>
    <w:rsid w:val="00852E52"/>
    <w:rsid w:val="00853B76"/>
    <w:rsid w:val="0086002F"/>
    <w:rsid w:val="00863F9D"/>
    <w:rsid w:val="008645F9"/>
    <w:rsid w:val="0086628A"/>
    <w:rsid w:val="00870D31"/>
    <w:rsid w:val="00871279"/>
    <w:rsid w:val="00872913"/>
    <w:rsid w:val="00873F82"/>
    <w:rsid w:val="0087599D"/>
    <w:rsid w:val="00880CA5"/>
    <w:rsid w:val="008817B1"/>
    <w:rsid w:val="0088195D"/>
    <w:rsid w:val="008834BB"/>
    <w:rsid w:val="008840FA"/>
    <w:rsid w:val="008846D2"/>
    <w:rsid w:val="00890F95"/>
    <w:rsid w:val="00891836"/>
    <w:rsid w:val="0089311A"/>
    <w:rsid w:val="008946C3"/>
    <w:rsid w:val="008948E0"/>
    <w:rsid w:val="0089528C"/>
    <w:rsid w:val="008A1884"/>
    <w:rsid w:val="008A6467"/>
    <w:rsid w:val="008A6631"/>
    <w:rsid w:val="008B034D"/>
    <w:rsid w:val="008B0BBC"/>
    <w:rsid w:val="008B4153"/>
    <w:rsid w:val="008B5356"/>
    <w:rsid w:val="008B7927"/>
    <w:rsid w:val="008C5AF3"/>
    <w:rsid w:val="008C6AD1"/>
    <w:rsid w:val="008C71B5"/>
    <w:rsid w:val="008C7FA2"/>
    <w:rsid w:val="008D1722"/>
    <w:rsid w:val="008D39A9"/>
    <w:rsid w:val="008D3AF4"/>
    <w:rsid w:val="008E3DD3"/>
    <w:rsid w:val="008E431F"/>
    <w:rsid w:val="008E5E12"/>
    <w:rsid w:val="008F0181"/>
    <w:rsid w:val="008F0D2A"/>
    <w:rsid w:val="008F12D4"/>
    <w:rsid w:val="008F17A0"/>
    <w:rsid w:val="008F23EF"/>
    <w:rsid w:val="008F305A"/>
    <w:rsid w:val="008F386F"/>
    <w:rsid w:val="008F48E1"/>
    <w:rsid w:val="008F50A7"/>
    <w:rsid w:val="008F5BD0"/>
    <w:rsid w:val="009003FE"/>
    <w:rsid w:val="00903C95"/>
    <w:rsid w:val="009046D4"/>
    <w:rsid w:val="0091058D"/>
    <w:rsid w:val="00910FA5"/>
    <w:rsid w:val="00911502"/>
    <w:rsid w:val="00913858"/>
    <w:rsid w:val="00913A0F"/>
    <w:rsid w:val="00914959"/>
    <w:rsid w:val="00915CE6"/>
    <w:rsid w:val="00915E98"/>
    <w:rsid w:val="00916468"/>
    <w:rsid w:val="009168A1"/>
    <w:rsid w:val="00924681"/>
    <w:rsid w:val="0092622E"/>
    <w:rsid w:val="0092664A"/>
    <w:rsid w:val="0092768E"/>
    <w:rsid w:val="00930877"/>
    <w:rsid w:val="00943046"/>
    <w:rsid w:val="00944503"/>
    <w:rsid w:val="00945CB0"/>
    <w:rsid w:val="00951188"/>
    <w:rsid w:val="00955732"/>
    <w:rsid w:val="00955CBA"/>
    <w:rsid w:val="00957FEC"/>
    <w:rsid w:val="00960F2F"/>
    <w:rsid w:val="009634F6"/>
    <w:rsid w:val="00963B5E"/>
    <w:rsid w:val="00963FA0"/>
    <w:rsid w:val="0096491F"/>
    <w:rsid w:val="0096787E"/>
    <w:rsid w:val="00974E95"/>
    <w:rsid w:val="00975F2D"/>
    <w:rsid w:val="00977BF5"/>
    <w:rsid w:val="0098302D"/>
    <w:rsid w:val="009833EF"/>
    <w:rsid w:val="00987608"/>
    <w:rsid w:val="0099360B"/>
    <w:rsid w:val="0099361C"/>
    <w:rsid w:val="00993B49"/>
    <w:rsid w:val="009943A0"/>
    <w:rsid w:val="009953BC"/>
    <w:rsid w:val="009963D2"/>
    <w:rsid w:val="009977F7"/>
    <w:rsid w:val="009A0568"/>
    <w:rsid w:val="009A0AF9"/>
    <w:rsid w:val="009A16BE"/>
    <w:rsid w:val="009A2337"/>
    <w:rsid w:val="009A2E00"/>
    <w:rsid w:val="009A355A"/>
    <w:rsid w:val="009A5CE8"/>
    <w:rsid w:val="009A7B5A"/>
    <w:rsid w:val="009A7F79"/>
    <w:rsid w:val="009B1863"/>
    <w:rsid w:val="009B2BDC"/>
    <w:rsid w:val="009B5F5D"/>
    <w:rsid w:val="009B6201"/>
    <w:rsid w:val="009B6326"/>
    <w:rsid w:val="009B73BA"/>
    <w:rsid w:val="009B759B"/>
    <w:rsid w:val="009C10D9"/>
    <w:rsid w:val="009C2051"/>
    <w:rsid w:val="009C425A"/>
    <w:rsid w:val="009C5CA7"/>
    <w:rsid w:val="009D03F8"/>
    <w:rsid w:val="009D1DF4"/>
    <w:rsid w:val="009D6C4D"/>
    <w:rsid w:val="009D7A24"/>
    <w:rsid w:val="009E00E4"/>
    <w:rsid w:val="009E0D20"/>
    <w:rsid w:val="009E0F6B"/>
    <w:rsid w:val="009E22AC"/>
    <w:rsid w:val="009E23B7"/>
    <w:rsid w:val="009E27D7"/>
    <w:rsid w:val="009E2964"/>
    <w:rsid w:val="009E5CEF"/>
    <w:rsid w:val="009E5D18"/>
    <w:rsid w:val="009E7DCD"/>
    <w:rsid w:val="009F16DE"/>
    <w:rsid w:val="009F2336"/>
    <w:rsid w:val="009F55F9"/>
    <w:rsid w:val="009F5CC0"/>
    <w:rsid w:val="009F6F8B"/>
    <w:rsid w:val="009F7164"/>
    <w:rsid w:val="00A01631"/>
    <w:rsid w:val="00A02F0A"/>
    <w:rsid w:val="00A037B0"/>
    <w:rsid w:val="00A1074D"/>
    <w:rsid w:val="00A127DD"/>
    <w:rsid w:val="00A12C9B"/>
    <w:rsid w:val="00A14E6C"/>
    <w:rsid w:val="00A167EC"/>
    <w:rsid w:val="00A172E6"/>
    <w:rsid w:val="00A24434"/>
    <w:rsid w:val="00A24C8D"/>
    <w:rsid w:val="00A26F15"/>
    <w:rsid w:val="00A30E37"/>
    <w:rsid w:val="00A35CF8"/>
    <w:rsid w:val="00A360E7"/>
    <w:rsid w:val="00A400FB"/>
    <w:rsid w:val="00A433CB"/>
    <w:rsid w:val="00A443D1"/>
    <w:rsid w:val="00A44D3E"/>
    <w:rsid w:val="00A456B3"/>
    <w:rsid w:val="00A47BFE"/>
    <w:rsid w:val="00A5087E"/>
    <w:rsid w:val="00A51808"/>
    <w:rsid w:val="00A51D78"/>
    <w:rsid w:val="00A51EA8"/>
    <w:rsid w:val="00A549C3"/>
    <w:rsid w:val="00A553A8"/>
    <w:rsid w:val="00A55DD1"/>
    <w:rsid w:val="00A561A8"/>
    <w:rsid w:val="00A562A6"/>
    <w:rsid w:val="00A6093A"/>
    <w:rsid w:val="00A614C3"/>
    <w:rsid w:val="00A61D06"/>
    <w:rsid w:val="00A62ADB"/>
    <w:rsid w:val="00A646B3"/>
    <w:rsid w:val="00A7007B"/>
    <w:rsid w:val="00A71062"/>
    <w:rsid w:val="00A71623"/>
    <w:rsid w:val="00A71F50"/>
    <w:rsid w:val="00A75616"/>
    <w:rsid w:val="00A75703"/>
    <w:rsid w:val="00A76B2E"/>
    <w:rsid w:val="00A77CF2"/>
    <w:rsid w:val="00A81CF8"/>
    <w:rsid w:val="00A84B87"/>
    <w:rsid w:val="00A84D4B"/>
    <w:rsid w:val="00A85485"/>
    <w:rsid w:val="00A8592D"/>
    <w:rsid w:val="00A85944"/>
    <w:rsid w:val="00A90D08"/>
    <w:rsid w:val="00A93FFF"/>
    <w:rsid w:val="00A95746"/>
    <w:rsid w:val="00A95924"/>
    <w:rsid w:val="00A95AB5"/>
    <w:rsid w:val="00A96D45"/>
    <w:rsid w:val="00A973EE"/>
    <w:rsid w:val="00AA18DD"/>
    <w:rsid w:val="00AA1F91"/>
    <w:rsid w:val="00AA5CE1"/>
    <w:rsid w:val="00AA60C5"/>
    <w:rsid w:val="00AB2137"/>
    <w:rsid w:val="00AB2D9E"/>
    <w:rsid w:val="00AB4404"/>
    <w:rsid w:val="00AB68E3"/>
    <w:rsid w:val="00AB723D"/>
    <w:rsid w:val="00AC21EE"/>
    <w:rsid w:val="00AC2BFC"/>
    <w:rsid w:val="00AC3B22"/>
    <w:rsid w:val="00AC4101"/>
    <w:rsid w:val="00AC5597"/>
    <w:rsid w:val="00AC6C3F"/>
    <w:rsid w:val="00AD0116"/>
    <w:rsid w:val="00AD1B42"/>
    <w:rsid w:val="00AD2324"/>
    <w:rsid w:val="00AD2548"/>
    <w:rsid w:val="00AD4177"/>
    <w:rsid w:val="00AD4698"/>
    <w:rsid w:val="00AD4B84"/>
    <w:rsid w:val="00AE23BE"/>
    <w:rsid w:val="00AE5772"/>
    <w:rsid w:val="00AF0AC0"/>
    <w:rsid w:val="00AF1807"/>
    <w:rsid w:val="00AF4CA9"/>
    <w:rsid w:val="00AF5B52"/>
    <w:rsid w:val="00B008BF"/>
    <w:rsid w:val="00B04CAF"/>
    <w:rsid w:val="00B06EFB"/>
    <w:rsid w:val="00B07460"/>
    <w:rsid w:val="00B10F5F"/>
    <w:rsid w:val="00B13646"/>
    <w:rsid w:val="00B155D6"/>
    <w:rsid w:val="00B16978"/>
    <w:rsid w:val="00B16BE4"/>
    <w:rsid w:val="00B17EBB"/>
    <w:rsid w:val="00B244F0"/>
    <w:rsid w:val="00B24A6F"/>
    <w:rsid w:val="00B278DB"/>
    <w:rsid w:val="00B27E42"/>
    <w:rsid w:val="00B30D4F"/>
    <w:rsid w:val="00B32CFB"/>
    <w:rsid w:val="00B3434E"/>
    <w:rsid w:val="00B351FD"/>
    <w:rsid w:val="00B35BFD"/>
    <w:rsid w:val="00B412ED"/>
    <w:rsid w:val="00B421F2"/>
    <w:rsid w:val="00B42822"/>
    <w:rsid w:val="00B42C54"/>
    <w:rsid w:val="00B4395A"/>
    <w:rsid w:val="00B44D59"/>
    <w:rsid w:val="00B4553E"/>
    <w:rsid w:val="00B46773"/>
    <w:rsid w:val="00B47091"/>
    <w:rsid w:val="00B4731E"/>
    <w:rsid w:val="00B47E14"/>
    <w:rsid w:val="00B54256"/>
    <w:rsid w:val="00B545F4"/>
    <w:rsid w:val="00B5595B"/>
    <w:rsid w:val="00B56303"/>
    <w:rsid w:val="00B62229"/>
    <w:rsid w:val="00B64F62"/>
    <w:rsid w:val="00B66898"/>
    <w:rsid w:val="00B66C53"/>
    <w:rsid w:val="00B7164C"/>
    <w:rsid w:val="00B74832"/>
    <w:rsid w:val="00B74917"/>
    <w:rsid w:val="00B807AB"/>
    <w:rsid w:val="00B80F53"/>
    <w:rsid w:val="00B82E26"/>
    <w:rsid w:val="00B845D5"/>
    <w:rsid w:val="00B94C53"/>
    <w:rsid w:val="00B9513D"/>
    <w:rsid w:val="00B95FBC"/>
    <w:rsid w:val="00B97C44"/>
    <w:rsid w:val="00BA05AE"/>
    <w:rsid w:val="00BA2FA3"/>
    <w:rsid w:val="00BA6418"/>
    <w:rsid w:val="00BA7263"/>
    <w:rsid w:val="00BA7D18"/>
    <w:rsid w:val="00BB22C2"/>
    <w:rsid w:val="00BB3A8F"/>
    <w:rsid w:val="00BC19F6"/>
    <w:rsid w:val="00BC2A83"/>
    <w:rsid w:val="00BD02D0"/>
    <w:rsid w:val="00BD0D15"/>
    <w:rsid w:val="00BD4EF8"/>
    <w:rsid w:val="00BD5425"/>
    <w:rsid w:val="00BD5DEC"/>
    <w:rsid w:val="00BE2CAB"/>
    <w:rsid w:val="00BE5E74"/>
    <w:rsid w:val="00BF0332"/>
    <w:rsid w:val="00BF5FCC"/>
    <w:rsid w:val="00BF6CF0"/>
    <w:rsid w:val="00C00FA2"/>
    <w:rsid w:val="00C069A2"/>
    <w:rsid w:val="00C069EC"/>
    <w:rsid w:val="00C10950"/>
    <w:rsid w:val="00C14729"/>
    <w:rsid w:val="00C17416"/>
    <w:rsid w:val="00C1748F"/>
    <w:rsid w:val="00C221D5"/>
    <w:rsid w:val="00C2280A"/>
    <w:rsid w:val="00C2652B"/>
    <w:rsid w:val="00C274E0"/>
    <w:rsid w:val="00C30598"/>
    <w:rsid w:val="00C346C7"/>
    <w:rsid w:val="00C352B9"/>
    <w:rsid w:val="00C3730D"/>
    <w:rsid w:val="00C373FB"/>
    <w:rsid w:val="00C41E61"/>
    <w:rsid w:val="00C45C85"/>
    <w:rsid w:val="00C50534"/>
    <w:rsid w:val="00C515CA"/>
    <w:rsid w:val="00C533E6"/>
    <w:rsid w:val="00C56730"/>
    <w:rsid w:val="00C6024F"/>
    <w:rsid w:val="00C60CE3"/>
    <w:rsid w:val="00C636BA"/>
    <w:rsid w:val="00C63D95"/>
    <w:rsid w:val="00C64B94"/>
    <w:rsid w:val="00C6798B"/>
    <w:rsid w:val="00C739BF"/>
    <w:rsid w:val="00C747DF"/>
    <w:rsid w:val="00C74F44"/>
    <w:rsid w:val="00C768C1"/>
    <w:rsid w:val="00C76C24"/>
    <w:rsid w:val="00C7740D"/>
    <w:rsid w:val="00C80E3F"/>
    <w:rsid w:val="00C867C8"/>
    <w:rsid w:val="00C87539"/>
    <w:rsid w:val="00C90663"/>
    <w:rsid w:val="00C93DCA"/>
    <w:rsid w:val="00C94248"/>
    <w:rsid w:val="00C96AB3"/>
    <w:rsid w:val="00CA071B"/>
    <w:rsid w:val="00CA0EE2"/>
    <w:rsid w:val="00CA5466"/>
    <w:rsid w:val="00CA591D"/>
    <w:rsid w:val="00CA734B"/>
    <w:rsid w:val="00CB0475"/>
    <w:rsid w:val="00CB2C4F"/>
    <w:rsid w:val="00CB3583"/>
    <w:rsid w:val="00CB6A8C"/>
    <w:rsid w:val="00CC34FF"/>
    <w:rsid w:val="00CC44F0"/>
    <w:rsid w:val="00CD0E5B"/>
    <w:rsid w:val="00CD0FE9"/>
    <w:rsid w:val="00CD396E"/>
    <w:rsid w:val="00CD5104"/>
    <w:rsid w:val="00CD6046"/>
    <w:rsid w:val="00CE06A5"/>
    <w:rsid w:val="00CE202E"/>
    <w:rsid w:val="00CE2229"/>
    <w:rsid w:val="00CE374E"/>
    <w:rsid w:val="00CF0534"/>
    <w:rsid w:val="00CF3FF0"/>
    <w:rsid w:val="00CF41AF"/>
    <w:rsid w:val="00CF4567"/>
    <w:rsid w:val="00CF53AB"/>
    <w:rsid w:val="00CF6815"/>
    <w:rsid w:val="00D0114F"/>
    <w:rsid w:val="00D04562"/>
    <w:rsid w:val="00D04D3D"/>
    <w:rsid w:val="00D11B02"/>
    <w:rsid w:val="00D1202C"/>
    <w:rsid w:val="00D12617"/>
    <w:rsid w:val="00D13798"/>
    <w:rsid w:val="00D16DDF"/>
    <w:rsid w:val="00D16E24"/>
    <w:rsid w:val="00D20486"/>
    <w:rsid w:val="00D228D8"/>
    <w:rsid w:val="00D27F3F"/>
    <w:rsid w:val="00D31439"/>
    <w:rsid w:val="00D33677"/>
    <w:rsid w:val="00D34934"/>
    <w:rsid w:val="00D353B7"/>
    <w:rsid w:val="00D373EC"/>
    <w:rsid w:val="00D4180D"/>
    <w:rsid w:val="00D42875"/>
    <w:rsid w:val="00D42B44"/>
    <w:rsid w:val="00D44A14"/>
    <w:rsid w:val="00D47738"/>
    <w:rsid w:val="00D51A9B"/>
    <w:rsid w:val="00D51D95"/>
    <w:rsid w:val="00D53EC6"/>
    <w:rsid w:val="00D55A00"/>
    <w:rsid w:val="00D56F77"/>
    <w:rsid w:val="00D57019"/>
    <w:rsid w:val="00D61E9F"/>
    <w:rsid w:val="00D62CC8"/>
    <w:rsid w:val="00D6402F"/>
    <w:rsid w:val="00D648BC"/>
    <w:rsid w:val="00D7047A"/>
    <w:rsid w:val="00D719E9"/>
    <w:rsid w:val="00D72225"/>
    <w:rsid w:val="00D734F3"/>
    <w:rsid w:val="00D73550"/>
    <w:rsid w:val="00D73D51"/>
    <w:rsid w:val="00D74D47"/>
    <w:rsid w:val="00D767BD"/>
    <w:rsid w:val="00D838F7"/>
    <w:rsid w:val="00D8479E"/>
    <w:rsid w:val="00D868F1"/>
    <w:rsid w:val="00D87EFF"/>
    <w:rsid w:val="00D91AE6"/>
    <w:rsid w:val="00D941A2"/>
    <w:rsid w:val="00D941E0"/>
    <w:rsid w:val="00D943D0"/>
    <w:rsid w:val="00D95840"/>
    <w:rsid w:val="00DA21BA"/>
    <w:rsid w:val="00DA554C"/>
    <w:rsid w:val="00DA5F07"/>
    <w:rsid w:val="00DB2EA8"/>
    <w:rsid w:val="00DB42FB"/>
    <w:rsid w:val="00DB44B1"/>
    <w:rsid w:val="00DB6FFA"/>
    <w:rsid w:val="00DB7AEE"/>
    <w:rsid w:val="00DC10BC"/>
    <w:rsid w:val="00DC39C4"/>
    <w:rsid w:val="00DC4019"/>
    <w:rsid w:val="00DC4568"/>
    <w:rsid w:val="00DC470E"/>
    <w:rsid w:val="00DC7087"/>
    <w:rsid w:val="00DD0941"/>
    <w:rsid w:val="00DD1C47"/>
    <w:rsid w:val="00DD464F"/>
    <w:rsid w:val="00DD4802"/>
    <w:rsid w:val="00DD6B5E"/>
    <w:rsid w:val="00DD6C69"/>
    <w:rsid w:val="00DE21B1"/>
    <w:rsid w:val="00DE4BF6"/>
    <w:rsid w:val="00DE69D0"/>
    <w:rsid w:val="00DE7070"/>
    <w:rsid w:val="00DE77A3"/>
    <w:rsid w:val="00DF02F6"/>
    <w:rsid w:val="00DF21B8"/>
    <w:rsid w:val="00DF31EE"/>
    <w:rsid w:val="00DF3395"/>
    <w:rsid w:val="00DF5635"/>
    <w:rsid w:val="00DF7681"/>
    <w:rsid w:val="00E01C69"/>
    <w:rsid w:val="00E02D36"/>
    <w:rsid w:val="00E03431"/>
    <w:rsid w:val="00E04E43"/>
    <w:rsid w:val="00E05E74"/>
    <w:rsid w:val="00E079A3"/>
    <w:rsid w:val="00E111F1"/>
    <w:rsid w:val="00E149CE"/>
    <w:rsid w:val="00E15A06"/>
    <w:rsid w:val="00E16AC4"/>
    <w:rsid w:val="00E17C58"/>
    <w:rsid w:val="00E2178D"/>
    <w:rsid w:val="00E23958"/>
    <w:rsid w:val="00E23AD4"/>
    <w:rsid w:val="00E23BEC"/>
    <w:rsid w:val="00E23EC3"/>
    <w:rsid w:val="00E24E4D"/>
    <w:rsid w:val="00E2618B"/>
    <w:rsid w:val="00E262A5"/>
    <w:rsid w:val="00E267F1"/>
    <w:rsid w:val="00E3023D"/>
    <w:rsid w:val="00E34E73"/>
    <w:rsid w:val="00E375C8"/>
    <w:rsid w:val="00E40C1F"/>
    <w:rsid w:val="00E4302B"/>
    <w:rsid w:val="00E4452C"/>
    <w:rsid w:val="00E528AF"/>
    <w:rsid w:val="00E53131"/>
    <w:rsid w:val="00E5328B"/>
    <w:rsid w:val="00E5518E"/>
    <w:rsid w:val="00E56222"/>
    <w:rsid w:val="00E566D8"/>
    <w:rsid w:val="00E57743"/>
    <w:rsid w:val="00E577C9"/>
    <w:rsid w:val="00E57A97"/>
    <w:rsid w:val="00E62C06"/>
    <w:rsid w:val="00E62DD3"/>
    <w:rsid w:val="00E66D8F"/>
    <w:rsid w:val="00E6742D"/>
    <w:rsid w:val="00E71707"/>
    <w:rsid w:val="00E71EF1"/>
    <w:rsid w:val="00E724DA"/>
    <w:rsid w:val="00E731C6"/>
    <w:rsid w:val="00E740C4"/>
    <w:rsid w:val="00E74686"/>
    <w:rsid w:val="00E74750"/>
    <w:rsid w:val="00E7604D"/>
    <w:rsid w:val="00E76686"/>
    <w:rsid w:val="00E76876"/>
    <w:rsid w:val="00E80520"/>
    <w:rsid w:val="00E81BD0"/>
    <w:rsid w:val="00E83C98"/>
    <w:rsid w:val="00E840FE"/>
    <w:rsid w:val="00E84DBD"/>
    <w:rsid w:val="00E85031"/>
    <w:rsid w:val="00E879C6"/>
    <w:rsid w:val="00E879FD"/>
    <w:rsid w:val="00E9128A"/>
    <w:rsid w:val="00E91C15"/>
    <w:rsid w:val="00E943E8"/>
    <w:rsid w:val="00E945CE"/>
    <w:rsid w:val="00E94FAF"/>
    <w:rsid w:val="00E9724F"/>
    <w:rsid w:val="00EA0528"/>
    <w:rsid w:val="00EA347E"/>
    <w:rsid w:val="00EA38B4"/>
    <w:rsid w:val="00EA4E02"/>
    <w:rsid w:val="00EA6276"/>
    <w:rsid w:val="00EB048C"/>
    <w:rsid w:val="00EB2C67"/>
    <w:rsid w:val="00EB367C"/>
    <w:rsid w:val="00EB43BA"/>
    <w:rsid w:val="00EB4429"/>
    <w:rsid w:val="00EB46D0"/>
    <w:rsid w:val="00EB4700"/>
    <w:rsid w:val="00EB7F72"/>
    <w:rsid w:val="00EC0F79"/>
    <w:rsid w:val="00EC2860"/>
    <w:rsid w:val="00EC4357"/>
    <w:rsid w:val="00EC45F7"/>
    <w:rsid w:val="00EC49A4"/>
    <w:rsid w:val="00EC4EF3"/>
    <w:rsid w:val="00ED20C9"/>
    <w:rsid w:val="00ED21EE"/>
    <w:rsid w:val="00ED272D"/>
    <w:rsid w:val="00ED37E1"/>
    <w:rsid w:val="00ED3B31"/>
    <w:rsid w:val="00ED4EC4"/>
    <w:rsid w:val="00ED6C04"/>
    <w:rsid w:val="00ED7D3D"/>
    <w:rsid w:val="00EE4094"/>
    <w:rsid w:val="00EE4C9D"/>
    <w:rsid w:val="00EE4D57"/>
    <w:rsid w:val="00EE53FF"/>
    <w:rsid w:val="00EE5E83"/>
    <w:rsid w:val="00EE7092"/>
    <w:rsid w:val="00EF2F5C"/>
    <w:rsid w:val="00EF3A92"/>
    <w:rsid w:val="00EF7590"/>
    <w:rsid w:val="00F024CA"/>
    <w:rsid w:val="00F0354F"/>
    <w:rsid w:val="00F1013F"/>
    <w:rsid w:val="00F10A99"/>
    <w:rsid w:val="00F11785"/>
    <w:rsid w:val="00F138A2"/>
    <w:rsid w:val="00F154EB"/>
    <w:rsid w:val="00F20632"/>
    <w:rsid w:val="00F231C6"/>
    <w:rsid w:val="00F23738"/>
    <w:rsid w:val="00F2392E"/>
    <w:rsid w:val="00F23E6E"/>
    <w:rsid w:val="00F3068C"/>
    <w:rsid w:val="00F30846"/>
    <w:rsid w:val="00F30878"/>
    <w:rsid w:val="00F30CAB"/>
    <w:rsid w:val="00F32479"/>
    <w:rsid w:val="00F327DF"/>
    <w:rsid w:val="00F33121"/>
    <w:rsid w:val="00F33769"/>
    <w:rsid w:val="00F36DEB"/>
    <w:rsid w:val="00F406FD"/>
    <w:rsid w:val="00F414D0"/>
    <w:rsid w:val="00F434DF"/>
    <w:rsid w:val="00F44ADB"/>
    <w:rsid w:val="00F4532C"/>
    <w:rsid w:val="00F47D9D"/>
    <w:rsid w:val="00F50558"/>
    <w:rsid w:val="00F50A8E"/>
    <w:rsid w:val="00F52372"/>
    <w:rsid w:val="00F52572"/>
    <w:rsid w:val="00F55847"/>
    <w:rsid w:val="00F57142"/>
    <w:rsid w:val="00F5756D"/>
    <w:rsid w:val="00F630A2"/>
    <w:rsid w:val="00F63E1C"/>
    <w:rsid w:val="00F64ED0"/>
    <w:rsid w:val="00F652AB"/>
    <w:rsid w:val="00F65942"/>
    <w:rsid w:val="00F72AA0"/>
    <w:rsid w:val="00F76A40"/>
    <w:rsid w:val="00F80C07"/>
    <w:rsid w:val="00F83E20"/>
    <w:rsid w:val="00F853BD"/>
    <w:rsid w:val="00F87264"/>
    <w:rsid w:val="00F908E9"/>
    <w:rsid w:val="00F96C94"/>
    <w:rsid w:val="00FA28D9"/>
    <w:rsid w:val="00FA2B8F"/>
    <w:rsid w:val="00FA47E6"/>
    <w:rsid w:val="00FA56D6"/>
    <w:rsid w:val="00FA595F"/>
    <w:rsid w:val="00FA6C24"/>
    <w:rsid w:val="00FA7E13"/>
    <w:rsid w:val="00FB44FE"/>
    <w:rsid w:val="00FB651A"/>
    <w:rsid w:val="00FC0CB3"/>
    <w:rsid w:val="00FC2999"/>
    <w:rsid w:val="00FC765F"/>
    <w:rsid w:val="00FC781D"/>
    <w:rsid w:val="00FD1861"/>
    <w:rsid w:val="00FD4A88"/>
    <w:rsid w:val="00FD5375"/>
    <w:rsid w:val="00FD61A3"/>
    <w:rsid w:val="00FD66C9"/>
    <w:rsid w:val="00FD79F6"/>
    <w:rsid w:val="00FE0371"/>
    <w:rsid w:val="00FE1258"/>
    <w:rsid w:val="00FE31D0"/>
    <w:rsid w:val="00FE3581"/>
    <w:rsid w:val="00FE51A2"/>
    <w:rsid w:val="00FE7A3F"/>
    <w:rsid w:val="00FF0A6F"/>
    <w:rsid w:val="00FF19E4"/>
    <w:rsid w:val="00FF34FF"/>
    <w:rsid w:val="00FF4E87"/>
    <w:rsid w:val="00FF50EE"/>
    <w:rsid w:val="00FF5821"/>
    <w:rsid w:val="00FF5C5C"/>
  </w:rsids>
  <m:mathPr>
    <m:mathFont m:val="Malgun Gothic"/>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foot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D95"/>
    <w:rPr>
      <w:rFonts w:ascii="Arial" w:hAnsi="Arial"/>
      <w:sz w:val="22"/>
      <w:szCs w:val="24"/>
    </w:rPr>
  </w:style>
  <w:style w:type="paragraph" w:styleId="Heading1">
    <w:name w:val="heading 1"/>
    <w:basedOn w:val="Normal"/>
    <w:next w:val="Normal"/>
    <w:link w:val="Heading1Char"/>
    <w:qFormat/>
    <w:rsid w:val="00B845D5"/>
    <w:pPr>
      <w:keepNext/>
      <w:spacing w:before="240" w:after="60"/>
      <w:outlineLvl w:val="0"/>
    </w:pPr>
    <w:rPr>
      <w:rFonts w:cs="Arial"/>
      <w:b/>
      <w:bCs/>
      <w:kern w:val="32"/>
      <w:sz w:val="32"/>
      <w:szCs w:val="32"/>
    </w:rPr>
  </w:style>
  <w:style w:type="paragraph" w:styleId="Heading2">
    <w:name w:val="heading 2"/>
    <w:basedOn w:val="Normal"/>
    <w:next w:val="Normal"/>
    <w:qFormat/>
    <w:rsid w:val="00E71EF1"/>
    <w:pPr>
      <w:keepNext/>
      <w:spacing w:before="240" w:after="60"/>
      <w:outlineLvl w:val="1"/>
    </w:pPr>
    <w:rPr>
      <w:rFonts w:cs="Arial"/>
      <w:b/>
      <w:bCs/>
      <w:i/>
      <w:iCs/>
      <w:sz w:val="28"/>
      <w:szCs w:val="28"/>
    </w:rPr>
  </w:style>
  <w:style w:type="paragraph" w:styleId="Heading3">
    <w:name w:val="heading 3"/>
    <w:basedOn w:val="Normal"/>
    <w:next w:val="Normal"/>
    <w:qFormat/>
    <w:rsid w:val="003129E8"/>
    <w:pPr>
      <w:keepNext/>
      <w:spacing w:before="240" w:after="60"/>
      <w:outlineLvl w:val="2"/>
    </w:pPr>
    <w:rPr>
      <w:rFonts w:cs="Arial"/>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OC1">
    <w:name w:val="toc 1"/>
    <w:basedOn w:val="Normal"/>
    <w:next w:val="Normal"/>
    <w:autoRedefine/>
    <w:uiPriority w:val="39"/>
    <w:rsid w:val="00220370"/>
    <w:pPr>
      <w:tabs>
        <w:tab w:val="right" w:leader="dot" w:pos="9350"/>
      </w:tabs>
    </w:pPr>
  </w:style>
  <w:style w:type="paragraph" w:styleId="TOC2">
    <w:name w:val="toc 2"/>
    <w:basedOn w:val="Normal"/>
    <w:next w:val="Normal"/>
    <w:autoRedefine/>
    <w:uiPriority w:val="39"/>
    <w:rsid w:val="000966CC"/>
    <w:pPr>
      <w:ind w:left="240"/>
    </w:pPr>
  </w:style>
  <w:style w:type="character" w:styleId="Hyperlink">
    <w:name w:val="Hyperlink"/>
    <w:uiPriority w:val="99"/>
    <w:rsid w:val="000966CC"/>
    <w:rPr>
      <w:color w:val="0000FF"/>
      <w:u w:val="single"/>
    </w:rPr>
  </w:style>
  <w:style w:type="paragraph" w:styleId="Footer">
    <w:name w:val="footer"/>
    <w:basedOn w:val="Normal"/>
    <w:link w:val="FooterChar"/>
    <w:uiPriority w:val="99"/>
    <w:rsid w:val="000966CC"/>
    <w:pPr>
      <w:tabs>
        <w:tab w:val="center" w:pos="4320"/>
        <w:tab w:val="right" w:pos="8640"/>
      </w:tabs>
    </w:pPr>
  </w:style>
  <w:style w:type="character" w:styleId="PageNumber">
    <w:name w:val="page number"/>
    <w:basedOn w:val="DefaultParagraphFont"/>
    <w:rsid w:val="000966CC"/>
  </w:style>
  <w:style w:type="paragraph" w:styleId="Header">
    <w:name w:val="header"/>
    <w:basedOn w:val="Normal"/>
    <w:rsid w:val="000966CC"/>
    <w:pPr>
      <w:tabs>
        <w:tab w:val="center" w:pos="4320"/>
        <w:tab w:val="right" w:pos="8640"/>
      </w:tabs>
    </w:pPr>
  </w:style>
  <w:style w:type="paragraph" w:styleId="TOC3">
    <w:name w:val="toc 3"/>
    <w:basedOn w:val="Normal"/>
    <w:next w:val="Normal"/>
    <w:autoRedefine/>
    <w:semiHidden/>
    <w:rsid w:val="00D33677"/>
    <w:pPr>
      <w:ind w:left="480"/>
    </w:pPr>
  </w:style>
  <w:style w:type="paragraph" w:styleId="EndnoteText">
    <w:name w:val="endnote text"/>
    <w:basedOn w:val="Normal"/>
    <w:link w:val="EndnoteTextChar"/>
    <w:semiHidden/>
    <w:rsid w:val="004551F3"/>
    <w:rPr>
      <w:sz w:val="20"/>
      <w:szCs w:val="20"/>
    </w:rPr>
  </w:style>
  <w:style w:type="character" w:styleId="EndnoteReference">
    <w:name w:val="endnote reference"/>
    <w:rsid w:val="004551F3"/>
    <w:rPr>
      <w:vertAlign w:val="superscript"/>
    </w:rPr>
  </w:style>
  <w:style w:type="paragraph" w:styleId="Index1">
    <w:name w:val="index 1"/>
    <w:basedOn w:val="Normal"/>
    <w:next w:val="Normal"/>
    <w:autoRedefine/>
    <w:semiHidden/>
    <w:rsid w:val="00F630A2"/>
    <w:pPr>
      <w:ind w:left="240" w:hanging="240"/>
    </w:pPr>
  </w:style>
  <w:style w:type="table" w:styleId="TableGrid">
    <w:name w:val="Table Grid"/>
    <w:basedOn w:val="TableNormal"/>
    <w:rsid w:val="00215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ntemporary">
    <w:name w:val="Table Contemporary"/>
    <w:basedOn w:val="TableNormal"/>
    <w:rsid w:val="000571F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semiHidden/>
    <w:rsid w:val="00B24A6F"/>
    <w:rPr>
      <w:rFonts w:ascii="Tahoma" w:hAnsi="Tahoma" w:cs="Tahoma"/>
      <w:sz w:val="16"/>
      <w:szCs w:val="16"/>
    </w:rPr>
  </w:style>
  <w:style w:type="paragraph" w:styleId="Caption">
    <w:name w:val="caption"/>
    <w:basedOn w:val="Normal"/>
    <w:next w:val="Normal"/>
    <w:link w:val="CaptionChar"/>
    <w:qFormat/>
    <w:rsid w:val="00A7007B"/>
    <w:rPr>
      <w:b/>
      <w:bCs/>
      <w:sz w:val="20"/>
      <w:szCs w:val="20"/>
    </w:rPr>
  </w:style>
  <w:style w:type="paragraph" w:styleId="TableofFigures">
    <w:name w:val="table of figures"/>
    <w:basedOn w:val="Normal"/>
    <w:next w:val="Normal"/>
    <w:uiPriority w:val="99"/>
    <w:rsid w:val="0054599C"/>
  </w:style>
  <w:style w:type="paragraph" w:styleId="NormalWeb">
    <w:name w:val="Normal (Web)"/>
    <w:basedOn w:val="Normal"/>
    <w:uiPriority w:val="99"/>
    <w:rsid w:val="00D73550"/>
    <w:pPr>
      <w:spacing w:before="100" w:beforeAutospacing="1" w:after="100" w:afterAutospacing="1"/>
    </w:pPr>
  </w:style>
  <w:style w:type="character" w:styleId="FollowedHyperlink">
    <w:name w:val="FollowedHyperlink"/>
    <w:rsid w:val="00EA4E02"/>
    <w:rPr>
      <w:color w:val="800080"/>
      <w:u w:val="single"/>
    </w:rPr>
  </w:style>
  <w:style w:type="paragraph" w:customStyle="1" w:styleId="xl27">
    <w:name w:val="xl27"/>
    <w:basedOn w:val="Normal"/>
    <w:rsid w:val="00200174"/>
    <w:pPr>
      <w:pBdr>
        <w:bottom w:val="single" w:sz="12" w:space="0" w:color="FFFFFF"/>
        <w:right w:val="single" w:sz="12" w:space="0" w:color="FFFFFF"/>
      </w:pBdr>
      <w:shd w:val="pct75" w:color="000000" w:fill="333333"/>
      <w:spacing w:before="100" w:beforeAutospacing="1" w:after="100" w:afterAutospacing="1"/>
      <w:jc w:val="center"/>
    </w:pPr>
    <w:rPr>
      <w:b/>
      <w:bCs/>
      <w:color w:val="FFFFFF"/>
      <w:sz w:val="16"/>
      <w:szCs w:val="16"/>
    </w:rPr>
  </w:style>
  <w:style w:type="paragraph" w:customStyle="1" w:styleId="xl28">
    <w:name w:val="xl28"/>
    <w:basedOn w:val="Normal"/>
    <w:rsid w:val="00200174"/>
    <w:pPr>
      <w:pBdr>
        <w:bottom w:val="single" w:sz="12" w:space="0" w:color="FFFFFF"/>
        <w:right w:val="single" w:sz="12" w:space="0" w:color="FFFFFF"/>
      </w:pBdr>
      <w:spacing w:before="100" w:beforeAutospacing="1" w:after="100" w:afterAutospacing="1"/>
    </w:pPr>
    <w:rPr>
      <w:b/>
      <w:bCs/>
    </w:rPr>
  </w:style>
  <w:style w:type="paragraph" w:customStyle="1" w:styleId="xl29">
    <w:name w:val="xl29"/>
    <w:basedOn w:val="Normal"/>
    <w:rsid w:val="00200174"/>
    <w:pPr>
      <w:pBdr>
        <w:bottom w:val="single" w:sz="12" w:space="0" w:color="FFFFFF"/>
        <w:right w:val="single" w:sz="12" w:space="0" w:color="FFFFFF"/>
      </w:pBdr>
      <w:shd w:val="clear" w:color="auto" w:fill="FFCC99"/>
      <w:spacing w:before="100" w:beforeAutospacing="1" w:after="100" w:afterAutospacing="1"/>
    </w:pPr>
    <w:rPr>
      <w:b/>
      <w:bCs/>
    </w:rPr>
  </w:style>
  <w:style w:type="paragraph" w:customStyle="1" w:styleId="xl30">
    <w:name w:val="xl30"/>
    <w:basedOn w:val="Normal"/>
    <w:rsid w:val="00200174"/>
    <w:pPr>
      <w:pBdr>
        <w:bottom w:val="single" w:sz="12" w:space="0" w:color="FFFFFF"/>
        <w:right w:val="single" w:sz="12" w:space="0" w:color="FFFFFF"/>
      </w:pBdr>
      <w:shd w:val="clear" w:color="auto" w:fill="FFFF99"/>
      <w:spacing w:before="100" w:beforeAutospacing="1" w:after="100" w:afterAutospacing="1"/>
    </w:pPr>
    <w:rPr>
      <w:b/>
      <w:bCs/>
    </w:rPr>
  </w:style>
  <w:style w:type="paragraph" w:customStyle="1" w:styleId="xl31">
    <w:name w:val="xl31"/>
    <w:basedOn w:val="Normal"/>
    <w:rsid w:val="00200174"/>
    <w:pPr>
      <w:pBdr>
        <w:bottom w:val="single" w:sz="12" w:space="0" w:color="FFFFFF"/>
        <w:right w:val="single" w:sz="12" w:space="0" w:color="FFFFFF"/>
      </w:pBdr>
      <w:shd w:val="clear" w:color="auto" w:fill="CCFFCC"/>
      <w:spacing w:before="100" w:beforeAutospacing="1" w:after="100" w:afterAutospacing="1"/>
    </w:pPr>
    <w:rPr>
      <w:b/>
      <w:bCs/>
    </w:rPr>
  </w:style>
  <w:style w:type="paragraph" w:customStyle="1" w:styleId="xl32">
    <w:name w:val="xl32"/>
    <w:basedOn w:val="Normal"/>
    <w:rsid w:val="00200174"/>
    <w:pPr>
      <w:pBdr>
        <w:bottom w:val="single" w:sz="12" w:space="0" w:color="FFFFFF"/>
        <w:right w:val="single" w:sz="12" w:space="0" w:color="FFFFFF"/>
      </w:pBdr>
      <w:shd w:val="clear" w:color="auto" w:fill="CCFFFF"/>
      <w:spacing w:before="100" w:beforeAutospacing="1" w:after="100" w:afterAutospacing="1"/>
    </w:pPr>
    <w:rPr>
      <w:b/>
      <w:bCs/>
    </w:rPr>
  </w:style>
  <w:style w:type="paragraph" w:customStyle="1" w:styleId="xl33">
    <w:name w:val="xl33"/>
    <w:basedOn w:val="Normal"/>
    <w:rsid w:val="00200174"/>
    <w:pPr>
      <w:pBdr>
        <w:bottom w:val="single" w:sz="12" w:space="0" w:color="FFFFFF"/>
        <w:right w:val="single" w:sz="12" w:space="0" w:color="FFFFFF"/>
      </w:pBdr>
      <w:shd w:val="clear" w:color="auto" w:fill="99CCFF"/>
      <w:spacing w:before="100" w:beforeAutospacing="1" w:after="100" w:afterAutospacing="1"/>
    </w:pPr>
    <w:rPr>
      <w:b/>
      <w:bCs/>
    </w:rPr>
  </w:style>
  <w:style w:type="paragraph" w:customStyle="1" w:styleId="xl34">
    <w:name w:val="xl34"/>
    <w:basedOn w:val="Normal"/>
    <w:rsid w:val="00200174"/>
    <w:pPr>
      <w:pBdr>
        <w:bottom w:val="single" w:sz="12" w:space="0" w:color="FFFFFF"/>
        <w:right w:val="single" w:sz="12" w:space="0" w:color="FFFFFF"/>
      </w:pBdr>
      <w:shd w:val="clear" w:color="auto" w:fill="CC99FF"/>
      <w:spacing w:before="100" w:beforeAutospacing="1" w:after="100" w:afterAutospacing="1"/>
    </w:pPr>
    <w:rPr>
      <w:b/>
      <w:bCs/>
    </w:rPr>
  </w:style>
  <w:style w:type="paragraph" w:customStyle="1" w:styleId="xl35">
    <w:name w:val="xl35"/>
    <w:basedOn w:val="Normal"/>
    <w:rsid w:val="00200174"/>
    <w:pPr>
      <w:pBdr>
        <w:bottom w:val="single" w:sz="12" w:space="0" w:color="FFFFFF"/>
        <w:right w:val="single" w:sz="12" w:space="0" w:color="FFFFFF"/>
      </w:pBdr>
      <w:shd w:val="clear" w:color="auto" w:fill="00CCFF"/>
      <w:spacing w:before="100" w:beforeAutospacing="1" w:after="100" w:afterAutospacing="1"/>
    </w:pPr>
    <w:rPr>
      <w:b/>
      <w:bCs/>
    </w:rPr>
  </w:style>
  <w:style w:type="paragraph" w:customStyle="1" w:styleId="xl36">
    <w:name w:val="xl36"/>
    <w:basedOn w:val="Normal"/>
    <w:rsid w:val="00200174"/>
    <w:pPr>
      <w:pBdr>
        <w:bottom w:val="single" w:sz="12" w:space="0" w:color="FFFFFF"/>
        <w:right w:val="single" w:sz="12" w:space="0" w:color="FFFFFF"/>
      </w:pBdr>
      <w:shd w:val="clear" w:color="auto" w:fill="800080"/>
      <w:spacing w:before="100" w:beforeAutospacing="1" w:after="100" w:afterAutospacing="1"/>
    </w:pPr>
    <w:rPr>
      <w:b/>
      <w:bCs/>
    </w:rPr>
  </w:style>
  <w:style w:type="paragraph" w:customStyle="1" w:styleId="xl37">
    <w:name w:val="xl37"/>
    <w:basedOn w:val="Normal"/>
    <w:rsid w:val="00200174"/>
    <w:pPr>
      <w:pBdr>
        <w:bottom w:val="single" w:sz="12" w:space="0" w:color="FFFFFF"/>
        <w:right w:val="single" w:sz="12" w:space="0" w:color="FFFFFF"/>
      </w:pBdr>
      <w:shd w:val="clear" w:color="auto" w:fill="FF00FF"/>
      <w:spacing w:before="100" w:beforeAutospacing="1" w:after="100" w:afterAutospacing="1"/>
    </w:pPr>
    <w:rPr>
      <w:b/>
      <w:bCs/>
    </w:rPr>
  </w:style>
  <w:style w:type="paragraph" w:customStyle="1" w:styleId="xl38">
    <w:name w:val="xl38"/>
    <w:basedOn w:val="Normal"/>
    <w:rsid w:val="00200174"/>
    <w:pPr>
      <w:pBdr>
        <w:bottom w:val="single" w:sz="12" w:space="0" w:color="FFFFFF"/>
        <w:right w:val="single" w:sz="12" w:space="0" w:color="FFFFFF"/>
      </w:pBdr>
      <w:shd w:val="clear" w:color="auto" w:fill="FFCC00"/>
      <w:spacing w:before="100" w:beforeAutospacing="1" w:after="100" w:afterAutospacing="1"/>
    </w:pPr>
    <w:rPr>
      <w:b/>
      <w:bCs/>
    </w:rPr>
  </w:style>
  <w:style w:type="paragraph" w:customStyle="1" w:styleId="xl39">
    <w:name w:val="xl39"/>
    <w:basedOn w:val="Normal"/>
    <w:rsid w:val="00200174"/>
    <w:pPr>
      <w:pBdr>
        <w:bottom w:val="single" w:sz="12" w:space="0" w:color="FFFFFF"/>
        <w:right w:val="single" w:sz="12" w:space="0" w:color="FFFFFF"/>
      </w:pBdr>
      <w:shd w:val="clear" w:color="auto" w:fill="FFFF00"/>
      <w:spacing w:before="100" w:beforeAutospacing="1" w:after="100" w:afterAutospacing="1"/>
    </w:pPr>
    <w:rPr>
      <w:b/>
      <w:bCs/>
    </w:rPr>
  </w:style>
  <w:style w:type="paragraph" w:customStyle="1" w:styleId="xl40">
    <w:name w:val="xl40"/>
    <w:basedOn w:val="Normal"/>
    <w:rsid w:val="00200174"/>
    <w:pPr>
      <w:pBdr>
        <w:bottom w:val="single" w:sz="12" w:space="0" w:color="FFFFFF"/>
        <w:right w:val="single" w:sz="12" w:space="0" w:color="FFFFFF"/>
      </w:pBdr>
      <w:shd w:val="clear" w:color="auto" w:fill="00FF00"/>
      <w:spacing w:before="100" w:beforeAutospacing="1" w:after="100" w:afterAutospacing="1"/>
    </w:pPr>
    <w:rPr>
      <w:b/>
      <w:bCs/>
    </w:rPr>
  </w:style>
  <w:style w:type="paragraph" w:customStyle="1" w:styleId="xl41">
    <w:name w:val="xl41"/>
    <w:basedOn w:val="Normal"/>
    <w:rsid w:val="00200174"/>
    <w:pPr>
      <w:pBdr>
        <w:bottom w:val="single" w:sz="12" w:space="0" w:color="FFFFFF"/>
        <w:right w:val="single" w:sz="12" w:space="0" w:color="FFFFFF"/>
      </w:pBdr>
      <w:shd w:val="clear" w:color="auto" w:fill="00FFFF"/>
      <w:spacing w:before="100" w:beforeAutospacing="1" w:after="100" w:afterAutospacing="1"/>
    </w:pPr>
    <w:rPr>
      <w:b/>
      <w:bCs/>
    </w:rPr>
  </w:style>
  <w:style w:type="paragraph" w:customStyle="1" w:styleId="xl42">
    <w:name w:val="xl42"/>
    <w:basedOn w:val="Normal"/>
    <w:rsid w:val="00200174"/>
    <w:pPr>
      <w:pBdr>
        <w:bottom w:val="single" w:sz="12" w:space="0" w:color="FFFFFF"/>
        <w:right w:val="single" w:sz="12" w:space="0" w:color="FFFFFF"/>
      </w:pBdr>
      <w:shd w:val="clear" w:color="auto" w:fill="993366"/>
      <w:spacing w:before="100" w:beforeAutospacing="1" w:after="100" w:afterAutospacing="1"/>
    </w:pPr>
    <w:rPr>
      <w:b/>
      <w:bCs/>
    </w:rPr>
  </w:style>
  <w:style w:type="paragraph" w:customStyle="1" w:styleId="xl43">
    <w:name w:val="xl43"/>
    <w:basedOn w:val="Normal"/>
    <w:rsid w:val="00200174"/>
    <w:pPr>
      <w:pBdr>
        <w:bottom w:val="single" w:sz="12" w:space="0" w:color="FFFFFF"/>
        <w:right w:val="single" w:sz="12" w:space="0" w:color="FFFFFF"/>
      </w:pBdr>
      <w:shd w:val="clear" w:color="auto" w:fill="FF6600"/>
      <w:spacing w:before="100" w:beforeAutospacing="1" w:after="100" w:afterAutospacing="1"/>
    </w:pPr>
    <w:rPr>
      <w:b/>
      <w:bCs/>
    </w:rPr>
  </w:style>
  <w:style w:type="paragraph" w:customStyle="1" w:styleId="xl44">
    <w:name w:val="xl44"/>
    <w:basedOn w:val="Normal"/>
    <w:rsid w:val="00200174"/>
    <w:pPr>
      <w:pBdr>
        <w:bottom w:val="single" w:sz="12" w:space="0" w:color="FFFFFF"/>
        <w:right w:val="single" w:sz="12" w:space="0" w:color="FFFFFF"/>
      </w:pBdr>
      <w:shd w:val="clear" w:color="auto" w:fill="FF99CC"/>
      <w:spacing w:before="100" w:beforeAutospacing="1" w:after="100" w:afterAutospacing="1"/>
    </w:pPr>
    <w:rPr>
      <w:b/>
      <w:bCs/>
    </w:rPr>
  </w:style>
  <w:style w:type="paragraph" w:customStyle="1" w:styleId="xl45">
    <w:name w:val="xl45"/>
    <w:basedOn w:val="Normal"/>
    <w:rsid w:val="00200174"/>
    <w:pPr>
      <w:pBdr>
        <w:bottom w:val="single" w:sz="12" w:space="0" w:color="FFFFFF"/>
        <w:right w:val="single" w:sz="12" w:space="0" w:color="FFFFFF"/>
      </w:pBdr>
      <w:shd w:val="clear" w:color="auto" w:fill="3366FF"/>
      <w:spacing w:before="100" w:beforeAutospacing="1" w:after="100" w:afterAutospacing="1"/>
    </w:pPr>
    <w:rPr>
      <w:b/>
      <w:bCs/>
    </w:rPr>
  </w:style>
  <w:style w:type="paragraph" w:customStyle="1" w:styleId="xl46">
    <w:name w:val="xl46"/>
    <w:basedOn w:val="Normal"/>
    <w:rsid w:val="00200174"/>
    <w:pPr>
      <w:pBdr>
        <w:bottom w:val="single" w:sz="12" w:space="0" w:color="FFFFFF"/>
        <w:right w:val="single" w:sz="12" w:space="0" w:color="FFFFFF"/>
      </w:pBdr>
      <w:shd w:val="clear" w:color="auto" w:fill="808000"/>
      <w:spacing w:before="100" w:beforeAutospacing="1" w:after="100" w:afterAutospacing="1"/>
    </w:pPr>
    <w:rPr>
      <w:b/>
      <w:bCs/>
    </w:rPr>
  </w:style>
  <w:style w:type="paragraph" w:customStyle="1" w:styleId="xl47">
    <w:name w:val="xl47"/>
    <w:basedOn w:val="Normal"/>
    <w:rsid w:val="00200174"/>
    <w:pPr>
      <w:pBdr>
        <w:bottom w:val="single" w:sz="12" w:space="0" w:color="FFFFFF"/>
        <w:right w:val="single" w:sz="12" w:space="0" w:color="FFFFFF"/>
      </w:pBdr>
      <w:shd w:val="clear" w:color="auto" w:fill="008000"/>
      <w:spacing w:before="100" w:beforeAutospacing="1" w:after="100" w:afterAutospacing="1"/>
    </w:pPr>
    <w:rPr>
      <w:b/>
      <w:bCs/>
    </w:rPr>
  </w:style>
  <w:style w:type="paragraph" w:customStyle="1" w:styleId="xl48">
    <w:name w:val="xl48"/>
    <w:basedOn w:val="Normal"/>
    <w:rsid w:val="00200174"/>
    <w:pPr>
      <w:pBdr>
        <w:bottom w:val="single" w:sz="12" w:space="0" w:color="FFFFFF"/>
        <w:right w:val="single" w:sz="12" w:space="0" w:color="FFFFFF"/>
      </w:pBdr>
      <w:shd w:val="clear" w:color="auto" w:fill="008080"/>
      <w:spacing w:before="100" w:beforeAutospacing="1" w:after="100" w:afterAutospacing="1"/>
    </w:pPr>
    <w:rPr>
      <w:b/>
      <w:bCs/>
    </w:rPr>
  </w:style>
  <w:style w:type="paragraph" w:customStyle="1" w:styleId="xl49">
    <w:name w:val="xl49"/>
    <w:basedOn w:val="Normal"/>
    <w:rsid w:val="00200174"/>
    <w:pPr>
      <w:pBdr>
        <w:bottom w:val="single" w:sz="12" w:space="0" w:color="FFFFFF"/>
        <w:right w:val="single" w:sz="12" w:space="0" w:color="FFFFFF"/>
      </w:pBdr>
      <w:shd w:val="clear" w:color="auto" w:fill="0000FF"/>
      <w:spacing w:before="100" w:beforeAutospacing="1" w:after="100" w:afterAutospacing="1"/>
    </w:pPr>
    <w:rPr>
      <w:b/>
      <w:bCs/>
    </w:rPr>
  </w:style>
  <w:style w:type="paragraph" w:customStyle="1" w:styleId="xl50">
    <w:name w:val="xl50"/>
    <w:basedOn w:val="Normal"/>
    <w:rsid w:val="00200174"/>
    <w:pPr>
      <w:pBdr>
        <w:bottom w:val="single" w:sz="12" w:space="0" w:color="FFFFFF"/>
        <w:right w:val="single" w:sz="12" w:space="0" w:color="FFFFFF"/>
      </w:pBdr>
      <w:shd w:val="clear" w:color="auto" w:fill="666699"/>
      <w:spacing w:before="100" w:beforeAutospacing="1" w:after="100" w:afterAutospacing="1"/>
    </w:pPr>
    <w:rPr>
      <w:b/>
      <w:bCs/>
    </w:rPr>
  </w:style>
  <w:style w:type="paragraph" w:customStyle="1" w:styleId="xl51">
    <w:name w:val="xl51"/>
    <w:basedOn w:val="Normal"/>
    <w:rsid w:val="00200174"/>
    <w:pPr>
      <w:pBdr>
        <w:bottom w:val="single" w:sz="12" w:space="0" w:color="FFFFFF"/>
        <w:right w:val="single" w:sz="12" w:space="0" w:color="FFFFFF"/>
      </w:pBdr>
      <w:shd w:val="clear" w:color="auto" w:fill="FF0000"/>
      <w:spacing w:before="100" w:beforeAutospacing="1" w:after="100" w:afterAutospacing="1"/>
    </w:pPr>
    <w:rPr>
      <w:b/>
      <w:bCs/>
    </w:rPr>
  </w:style>
  <w:style w:type="paragraph" w:customStyle="1" w:styleId="xl52">
    <w:name w:val="xl52"/>
    <w:basedOn w:val="Normal"/>
    <w:rsid w:val="00200174"/>
    <w:pPr>
      <w:pBdr>
        <w:bottom w:val="single" w:sz="12" w:space="0" w:color="FFFFFF"/>
        <w:right w:val="single" w:sz="12" w:space="0" w:color="FFFFFF"/>
      </w:pBdr>
      <w:shd w:val="clear" w:color="auto" w:fill="FF9900"/>
      <w:spacing w:before="100" w:beforeAutospacing="1" w:after="100" w:afterAutospacing="1"/>
    </w:pPr>
    <w:rPr>
      <w:b/>
      <w:bCs/>
    </w:rPr>
  </w:style>
  <w:style w:type="paragraph" w:customStyle="1" w:styleId="xl53">
    <w:name w:val="xl53"/>
    <w:basedOn w:val="Normal"/>
    <w:rsid w:val="00200174"/>
    <w:pPr>
      <w:pBdr>
        <w:bottom w:val="single" w:sz="12" w:space="0" w:color="FFFFFF"/>
        <w:right w:val="single" w:sz="12" w:space="0" w:color="FFFFFF"/>
      </w:pBdr>
      <w:shd w:val="clear" w:color="auto" w:fill="C0C0C0"/>
      <w:spacing w:before="100" w:beforeAutospacing="1" w:after="100" w:afterAutospacing="1"/>
      <w:jc w:val="center"/>
    </w:pPr>
    <w:rPr>
      <w:sz w:val="16"/>
      <w:szCs w:val="16"/>
    </w:rPr>
  </w:style>
  <w:style w:type="paragraph" w:customStyle="1" w:styleId="xl54">
    <w:name w:val="xl54"/>
    <w:basedOn w:val="Normal"/>
    <w:rsid w:val="00200174"/>
    <w:pPr>
      <w:pBdr>
        <w:bottom w:val="single" w:sz="12" w:space="0" w:color="FFFFFF"/>
        <w:right w:val="single" w:sz="12" w:space="0" w:color="FFFFFF"/>
      </w:pBdr>
      <w:shd w:val="clear" w:color="auto" w:fill="C0C0C0"/>
      <w:spacing w:before="100" w:beforeAutospacing="1" w:after="100" w:afterAutospacing="1"/>
    </w:pPr>
  </w:style>
  <w:style w:type="paragraph" w:customStyle="1" w:styleId="xl55">
    <w:name w:val="xl55"/>
    <w:basedOn w:val="Normal"/>
    <w:rsid w:val="00200174"/>
    <w:pPr>
      <w:pBdr>
        <w:bottom w:val="single" w:sz="12" w:space="0" w:color="FFFFFF"/>
        <w:right w:val="single" w:sz="12" w:space="0" w:color="FFFFFF"/>
      </w:pBdr>
      <w:shd w:val="clear" w:color="auto" w:fill="C0C0C0"/>
      <w:spacing w:before="100" w:beforeAutospacing="1" w:after="100" w:afterAutospacing="1"/>
    </w:pPr>
    <w:rPr>
      <w:b/>
      <w:bCs/>
    </w:rPr>
  </w:style>
  <w:style w:type="paragraph" w:customStyle="1" w:styleId="xl56">
    <w:name w:val="xl56"/>
    <w:basedOn w:val="Normal"/>
    <w:rsid w:val="00200174"/>
    <w:pPr>
      <w:pBdr>
        <w:bottom w:val="single" w:sz="12" w:space="0" w:color="FFFFFF"/>
        <w:right w:val="single" w:sz="12" w:space="0" w:color="FFFFFF"/>
      </w:pBdr>
      <w:shd w:val="clear" w:color="auto" w:fill="C0C0C0"/>
      <w:spacing w:before="100" w:beforeAutospacing="1" w:after="100" w:afterAutospacing="1"/>
    </w:pPr>
  </w:style>
  <w:style w:type="paragraph" w:customStyle="1" w:styleId="xl57">
    <w:name w:val="xl57"/>
    <w:basedOn w:val="Normal"/>
    <w:rsid w:val="00200174"/>
    <w:pPr>
      <w:pBdr>
        <w:bottom w:val="single" w:sz="12" w:space="0" w:color="FFFFFF"/>
        <w:right w:val="single" w:sz="12" w:space="0" w:color="FFFFFF"/>
      </w:pBdr>
      <w:shd w:val="clear" w:color="auto" w:fill="969696"/>
      <w:spacing w:before="100" w:beforeAutospacing="1" w:after="100" w:afterAutospacing="1"/>
      <w:jc w:val="center"/>
    </w:pPr>
    <w:rPr>
      <w:sz w:val="16"/>
      <w:szCs w:val="16"/>
    </w:rPr>
  </w:style>
  <w:style w:type="paragraph" w:customStyle="1" w:styleId="xl58">
    <w:name w:val="xl58"/>
    <w:basedOn w:val="Normal"/>
    <w:rsid w:val="00200174"/>
    <w:pPr>
      <w:pBdr>
        <w:bottom w:val="single" w:sz="12" w:space="0" w:color="FFFFFF"/>
        <w:right w:val="single" w:sz="12" w:space="0" w:color="FFFFFF"/>
      </w:pBdr>
      <w:shd w:val="clear" w:color="auto" w:fill="969696"/>
      <w:spacing w:before="100" w:beforeAutospacing="1" w:after="100" w:afterAutospacing="1"/>
    </w:pPr>
  </w:style>
  <w:style w:type="paragraph" w:customStyle="1" w:styleId="xl59">
    <w:name w:val="xl59"/>
    <w:basedOn w:val="Normal"/>
    <w:rsid w:val="00200174"/>
    <w:pPr>
      <w:pBdr>
        <w:bottom w:val="single" w:sz="12" w:space="0" w:color="FFFFFF"/>
        <w:right w:val="single" w:sz="12" w:space="0" w:color="FFFFFF"/>
      </w:pBdr>
      <w:shd w:val="clear" w:color="auto" w:fill="969696"/>
      <w:spacing w:before="100" w:beforeAutospacing="1" w:after="100" w:afterAutospacing="1"/>
    </w:pPr>
    <w:rPr>
      <w:b/>
      <w:bCs/>
    </w:rPr>
  </w:style>
  <w:style w:type="paragraph" w:customStyle="1" w:styleId="xl60">
    <w:name w:val="xl60"/>
    <w:basedOn w:val="Normal"/>
    <w:rsid w:val="00200174"/>
    <w:pPr>
      <w:pBdr>
        <w:bottom w:val="single" w:sz="12" w:space="0" w:color="FFFFFF"/>
        <w:right w:val="single" w:sz="12" w:space="0" w:color="FFFFFF"/>
      </w:pBdr>
      <w:shd w:val="clear" w:color="auto" w:fill="969696"/>
      <w:spacing w:before="100" w:beforeAutospacing="1" w:after="100" w:afterAutospacing="1"/>
    </w:pPr>
  </w:style>
  <w:style w:type="paragraph" w:customStyle="1" w:styleId="xl61">
    <w:name w:val="xl61"/>
    <w:basedOn w:val="Normal"/>
    <w:rsid w:val="00200174"/>
    <w:pPr>
      <w:pBdr>
        <w:bottom w:val="single" w:sz="12" w:space="0" w:color="FFFFFF"/>
        <w:right w:val="single" w:sz="12" w:space="0" w:color="FFFFFF"/>
      </w:pBdr>
      <w:shd w:val="clear" w:color="auto" w:fill="C0C0C0"/>
      <w:spacing w:before="100" w:beforeAutospacing="1" w:after="100" w:afterAutospacing="1"/>
    </w:pPr>
    <w:rPr>
      <w:b/>
      <w:bCs/>
    </w:rPr>
  </w:style>
  <w:style w:type="paragraph" w:customStyle="1" w:styleId="xl62">
    <w:name w:val="xl62"/>
    <w:basedOn w:val="Normal"/>
    <w:rsid w:val="00200174"/>
    <w:pPr>
      <w:pBdr>
        <w:bottom w:val="single" w:sz="12" w:space="0" w:color="FFFFFF"/>
        <w:right w:val="single" w:sz="12" w:space="0" w:color="FFFFFF"/>
      </w:pBdr>
      <w:shd w:val="clear" w:color="auto" w:fill="C0C0C0"/>
      <w:spacing w:before="100" w:beforeAutospacing="1" w:after="100" w:afterAutospacing="1"/>
    </w:pPr>
    <w:rPr>
      <w:b/>
      <w:bCs/>
    </w:rPr>
  </w:style>
  <w:style w:type="paragraph" w:customStyle="1" w:styleId="xl63">
    <w:name w:val="xl63"/>
    <w:basedOn w:val="Normal"/>
    <w:rsid w:val="00200174"/>
    <w:pPr>
      <w:pBdr>
        <w:bottom w:val="single" w:sz="12" w:space="0" w:color="FFFFFF"/>
        <w:right w:val="single" w:sz="12" w:space="0" w:color="FFFFFF"/>
      </w:pBdr>
      <w:shd w:val="clear" w:color="auto" w:fill="C0C0C0"/>
      <w:spacing w:before="100" w:beforeAutospacing="1" w:after="100" w:afterAutospacing="1"/>
    </w:pPr>
  </w:style>
  <w:style w:type="paragraph" w:customStyle="1" w:styleId="xl64">
    <w:name w:val="xl64"/>
    <w:basedOn w:val="Normal"/>
    <w:rsid w:val="00200174"/>
    <w:pPr>
      <w:pBdr>
        <w:bottom w:val="single" w:sz="12" w:space="0" w:color="FFFFFF"/>
        <w:right w:val="single" w:sz="12" w:space="0" w:color="FFFFFF"/>
      </w:pBdr>
      <w:shd w:val="clear" w:color="auto" w:fill="969696"/>
      <w:spacing w:before="100" w:beforeAutospacing="1" w:after="100" w:afterAutospacing="1"/>
    </w:pPr>
    <w:rPr>
      <w:b/>
      <w:bCs/>
    </w:rPr>
  </w:style>
  <w:style w:type="paragraph" w:customStyle="1" w:styleId="xl65">
    <w:name w:val="xl65"/>
    <w:basedOn w:val="Normal"/>
    <w:rsid w:val="00200174"/>
    <w:pPr>
      <w:pBdr>
        <w:bottom w:val="single" w:sz="12" w:space="0" w:color="FFFFFF"/>
        <w:right w:val="single" w:sz="12" w:space="0" w:color="FFFFFF"/>
      </w:pBdr>
      <w:shd w:val="clear" w:color="auto" w:fill="969696"/>
      <w:spacing w:before="100" w:beforeAutospacing="1" w:after="100" w:afterAutospacing="1"/>
    </w:pPr>
    <w:rPr>
      <w:b/>
      <w:bCs/>
    </w:rPr>
  </w:style>
  <w:style w:type="paragraph" w:customStyle="1" w:styleId="xl66">
    <w:name w:val="xl66"/>
    <w:basedOn w:val="Normal"/>
    <w:rsid w:val="00200174"/>
    <w:pPr>
      <w:pBdr>
        <w:bottom w:val="single" w:sz="12" w:space="0" w:color="FFFFFF"/>
        <w:right w:val="single" w:sz="12" w:space="0" w:color="FFFFFF"/>
      </w:pBdr>
      <w:shd w:val="clear" w:color="auto" w:fill="969696"/>
      <w:spacing w:before="100" w:beforeAutospacing="1" w:after="100" w:afterAutospacing="1"/>
    </w:pPr>
  </w:style>
  <w:style w:type="table" w:styleId="TableElegant">
    <w:name w:val="Table Elegant"/>
    <w:basedOn w:val="TableNormal"/>
    <w:rsid w:val="00B351F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um1">
    <w:name w:val="num1"/>
    <w:basedOn w:val="Normal"/>
    <w:rsid w:val="00F652AB"/>
    <w:pPr>
      <w:tabs>
        <w:tab w:val="left" w:pos="-720"/>
      </w:tabs>
      <w:suppressAutoHyphens/>
      <w:spacing w:line="360" w:lineRule="auto"/>
      <w:ind w:firstLine="360"/>
    </w:pPr>
    <w:rPr>
      <w:rFonts w:ascii="Palatino" w:hAnsi="Palatino"/>
      <w:sz w:val="26"/>
      <w:szCs w:val="20"/>
    </w:rPr>
  </w:style>
  <w:style w:type="paragraph" w:styleId="DocumentMap">
    <w:name w:val="Document Map"/>
    <w:basedOn w:val="Normal"/>
    <w:semiHidden/>
    <w:rsid w:val="00B008BF"/>
    <w:pPr>
      <w:shd w:val="clear" w:color="auto" w:fill="000080"/>
    </w:pPr>
    <w:rPr>
      <w:rFonts w:ascii="Tahoma" w:hAnsi="Tahoma" w:cs="Tahoma"/>
      <w:sz w:val="20"/>
      <w:szCs w:val="20"/>
    </w:rPr>
  </w:style>
  <w:style w:type="character" w:styleId="CommentReference">
    <w:name w:val="annotation reference"/>
    <w:semiHidden/>
    <w:rsid w:val="0042297B"/>
    <w:rPr>
      <w:sz w:val="16"/>
      <w:szCs w:val="16"/>
    </w:rPr>
  </w:style>
  <w:style w:type="paragraph" w:styleId="CommentText">
    <w:name w:val="annotation text"/>
    <w:basedOn w:val="Normal"/>
    <w:semiHidden/>
    <w:rsid w:val="0042297B"/>
    <w:rPr>
      <w:sz w:val="20"/>
      <w:szCs w:val="20"/>
    </w:rPr>
  </w:style>
  <w:style w:type="paragraph" w:styleId="CommentSubject">
    <w:name w:val="annotation subject"/>
    <w:basedOn w:val="CommentText"/>
    <w:next w:val="CommentText"/>
    <w:semiHidden/>
    <w:rsid w:val="0042297B"/>
    <w:rPr>
      <w:b/>
      <w:bCs/>
    </w:rPr>
  </w:style>
  <w:style w:type="paragraph" w:styleId="FootnoteText">
    <w:name w:val="footnote text"/>
    <w:basedOn w:val="Normal"/>
    <w:link w:val="FootnoteTextChar"/>
    <w:uiPriority w:val="99"/>
    <w:rsid w:val="007475AA"/>
    <w:rPr>
      <w:sz w:val="20"/>
      <w:szCs w:val="20"/>
    </w:rPr>
  </w:style>
  <w:style w:type="character" w:styleId="FootnoteReference">
    <w:name w:val="footnote reference"/>
    <w:semiHidden/>
    <w:rsid w:val="007475AA"/>
    <w:rPr>
      <w:vertAlign w:val="superscript"/>
    </w:rPr>
  </w:style>
  <w:style w:type="paragraph" w:customStyle="1" w:styleId="Reminders">
    <w:name w:val="Reminders"/>
    <w:basedOn w:val="Normal"/>
    <w:link w:val="RemindersChar"/>
    <w:rsid w:val="001C2942"/>
    <w:pPr>
      <w:spacing w:before="40" w:after="40"/>
    </w:pPr>
    <w:rPr>
      <w:rFonts w:ascii="Trebuchet MS" w:eastAsia="Calibri" w:hAnsi="Trebuchet MS"/>
      <w:i/>
      <w:color w:val="FF0000"/>
    </w:rPr>
  </w:style>
  <w:style w:type="paragraph" w:customStyle="1" w:styleId="Reminder">
    <w:name w:val="Reminder"/>
    <w:basedOn w:val="Reminders"/>
    <w:link w:val="ReminderChar"/>
    <w:rsid w:val="001C2942"/>
  </w:style>
  <w:style w:type="character" w:customStyle="1" w:styleId="RemindersChar">
    <w:name w:val="Reminders Char"/>
    <w:link w:val="Reminders"/>
    <w:locked/>
    <w:rsid w:val="001C2942"/>
    <w:rPr>
      <w:rFonts w:ascii="Trebuchet MS" w:eastAsia="Calibri" w:hAnsi="Trebuchet MS"/>
      <w:i/>
      <w:color w:val="FF0000"/>
      <w:sz w:val="24"/>
      <w:szCs w:val="24"/>
      <w:lang w:val="en-US" w:eastAsia="en-US" w:bidi="ar-SA"/>
    </w:rPr>
  </w:style>
  <w:style w:type="character" w:customStyle="1" w:styleId="ReminderChar">
    <w:name w:val="Reminder Char"/>
    <w:link w:val="Reminder"/>
    <w:locked/>
    <w:rsid w:val="001C2942"/>
    <w:rPr>
      <w:rFonts w:ascii="Trebuchet MS" w:eastAsia="Calibri" w:hAnsi="Trebuchet MS"/>
      <w:i/>
      <w:color w:val="FF0000"/>
      <w:sz w:val="24"/>
      <w:szCs w:val="24"/>
      <w:lang w:val="en-US" w:eastAsia="en-US" w:bidi="ar-SA"/>
    </w:rPr>
  </w:style>
  <w:style w:type="character" w:customStyle="1" w:styleId="CaptionChar">
    <w:name w:val="Caption Char"/>
    <w:link w:val="Caption"/>
    <w:locked/>
    <w:rsid w:val="001C2942"/>
    <w:rPr>
      <w:b/>
      <w:bCs/>
      <w:lang w:val="en-US" w:eastAsia="en-US" w:bidi="ar-SA"/>
    </w:rPr>
  </w:style>
  <w:style w:type="character" w:styleId="Strong">
    <w:name w:val="Strong"/>
    <w:link w:val="TitleChar"/>
    <w:qFormat/>
    <w:rsid w:val="00003527"/>
    <w:rPr>
      <w:rFonts w:ascii="Arial" w:hAnsi="Arial"/>
      <w:b/>
      <w:bCs/>
      <w:sz w:val="22"/>
    </w:rPr>
  </w:style>
  <w:style w:type="character" w:customStyle="1" w:styleId="TitleChar">
    <w:name w:val="Title Char"/>
    <w:link w:val="Strong"/>
    <w:locked/>
    <w:rsid w:val="000E22C9"/>
    <w:rPr>
      <w:rFonts w:ascii="Arial" w:hAnsi="Arial"/>
      <w:b/>
      <w:color w:val="17365D"/>
      <w:spacing w:val="5"/>
      <w:kern w:val="28"/>
      <w:sz w:val="48"/>
      <w:szCs w:val="52"/>
      <w:lang w:eastAsia="ko-KR"/>
    </w:rPr>
  </w:style>
  <w:style w:type="character" w:customStyle="1" w:styleId="Heading1Char">
    <w:name w:val="Heading 1 Char"/>
    <w:link w:val="Heading1"/>
    <w:locked/>
    <w:rsid w:val="00B845D5"/>
    <w:rPr>
      <w:rFonts w:ascii="Arial" w:hAnsi="Arial" w:cs="Arial"/>
      <w:b/>
      <w:bCs/>
      <w:kern w:val="32"/>
      <w:sz w:val="32"/>
      <w:szCs w:val="32"/>
    </w:rPr>
  </w:style>
  <w:style w:type="character" w:customStyle="1" w:styleId="Strong1">
    <w:name w:val="Strong1"/>
    <w:qFormat/>
    <w:rsid w:val="00A55DD1"/>
    <w:rPr>
      <w:b/>
      <w:bCs/>
    </w:rPr>
  </w:style>
  <w:style w:type="character" w:customStyle="1" w:styleId="SubtitleChar">
    <w:name w:val="Subtitle Char"/>
    <w:rsid w:val="000E22C9"/>
    <w:rPr>
      <w:rFonts w:ascii="Arial" w:eastAsia="Times New Roman" w:hAnsi="Arial" w:cs="Times New Roman"/>
      <w:b/>
      <w:sz w:val="36"/>
      <w:szCs w:val="24"/>
    </w:rPr>
  </w:style>
  <w:style w:type="paragraph" w:styleId="TOCHeading">
    <w:name w:val="TOC Heading"/>
    <w:basedOn w:val="Heading1"/>
    <w:next w:val="Normal"/>
    <w:uiPriority w:val="39"/>
    <w:semiHidden/>
    <w:unhideWhenUsed/>
    <w:qFormat/>
    <w:rsid w:val="00FA47E6"/>
    <w:pPr>
      <w:keepLines/>
      <w:spacing w:before="480" w:after="0" w:line="276" w:lineRule="auto"/>
      <w:outlineLvl w:val="9"/>
    </w:pPr>
    <w:rPr>
      <w:rFonts w:ascii="Cambria" w:eastAsia="MS Gothic" w:hAnsi="Cambria" w:cs="Times New Roman"/>
      <w:color w:val="365F91"/>
      <w:kern w:val="0"/>
      <w:sz w:val="28"/>
      <w:szCs w:val="28"/>
      <w:lang w:eastAsia="ja-JP"/>
    </w:rPr>
  </w:style>
  <w:style w:type="table" w:customStyle="1" w:styleId="PGEWorkPaper">
    <w:name w:val="PG&amp;E Work Paper"/>
    <w:basedOn w:val="TableContemporary"/>
    <w:uiPriority w:val="99"/>
    <w:rsid w:val="009B1863"/>
    <w:pPr>
      <w:jc w:val="center"/>
    </w:pPr>
    <w:rPr>
      <w:rFonts w:ascii="Arial" w:hAnsi="Arial"/>
    </w:rPr>
    <w:tblPr>
      <w:tblStyleRowBandSize w:val="1"/>
      <w:tblInd w:w="0" w:type="dxa"/>
      <w:tblBorders>
        <w:top w:val="single" w:sz="18" w:space="0" w:color="FFFFFF"/>
        <w:left w:val="single" w:sz="18" w:space="0" w:color="FFFFFF"/>
        <w:bottom w:val="single" w:sz="18" w:space="0" w:color="FFFFFF"/>
        <w:right w:val="single" w:sz="18" w:space="0" w:color="FFFFFF"/>
      </w:tblBorders>
      <w:tblCellMar>
        <w:top w:w="0" w:type="dxa"/>
        <w:left w:w="108" w:type="dxa"/>
        <w:bottom w:w="0" w:type="dxa"/>
        <w:right w:w="108" w:type="dxa"/>
      </w:tblCellMar>
    </w:tblPr>
    <w:tcPr>
      <w:shd w:val="clear" w:color="auto" w:fill="CBCBCB"/>
      <w:vAlign w:val="bottom"/>
    </w:tcPr>
    <w:tblStylePr w:type="firstRow">
      <w:pPr>
        <w:keepNext w:val="0"/>
        <w:keepLines/>
        <w:widowControl/>
        <w:wordWrap/>
        <w:jc w:val="center"/>
      </w:pPr>
      <w:rPr>
        <w:rFonts w:ascii="Arial" w:hAnsi="Arial"/>
        <w:b/>
        <w:bCs/>
        <w:color w:val="F2F2F2"/>
        <w:position w:val="0"/>
      </w:rPr>
      <w:tblPr/>
      <w:tcPr>
        <w:tcBorders>
          <w:tl2br w:val="none" w:sz="0" w:space="0" w:color="auto"/>
          <w:tr2bl w:val="none" w:sz="0" w:space="0" w:color="auto"/>
        </w:tcBorders>
        <w:shd w:val="clear" w:color="auto" w:fill="262626"/>
        <w:vAlign w:val="bottom"/>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Revision">
    <w:name w:val="Revision"/>
    <w:hidden/>
    <w:uiPriority w:val="99"/>
    <w:semiHidden/>
    <w:rsid w:val="001E4C31"/>
    <w:rPr>
      <w:rFonts w:ascii="Arial" w:hAnsi="Arial"/>
      <w:sz w:val="22"/>
      <w:szCs w:val="24"/>
    </w:rPr>
  </w:style>
  <w:style w:type="character" w:customStyle="1" w:styleId="breadcrumbs">
    <w:name w:val="breadcrumbs"/>
    <w:rsid w:val="007B2E26"/>
  </w:style>
  <w:style w:type="character" w:customStyle="1" w:styleId="FooterChar">
    <w:name w:val="Footer Char"/>
    <w:link w:val="Footer"/>
    <w:uiPriority w:val="99"/>
    <w:rsid w:val="00E9724F"/>
    <w:rPr>
      <w:rFonts w:ascii="Arial" w:hAnsi="Arial"/>
      <w:sz w:val="22"/>
      <w:szCs w:val="24"/>
    </w:rPr>
  </w:style>
  <w:style w:type="paragraph" w:styleId="ListParagraph">
    <w:name w:val="List Paragraph"/>
    <w:basedOn w:val="Normal"/>
    <w:uiPriority w:val="34"/>
    <w:qFormat/>
    <w:rsid w:val="00761007"/>
    <w:pPr>
      <w:ind w:left="720"/>
      <w:contextualSpacing/>
    </w:pPr>
    <w:rPr>
      <w:rFonts w:ascii="Times New Roman" w:hAnsi="Times New Roman"/>
      <w:sz w:val="24"/>
    </w:rPr>
  </w:style>
  <w:style w:type="paragraph" w:customStyle="1" w:styleId="Default">
    <w:name w:val="Default"/>
    <w:rsid w:val="00E4452C"/>
    <w:pPr>
      <w:autoSpaceDE w:val="0"/>
      <w:autoSpaceDN w:val="0"/>
      <w:adjustRightInd w:val="0"/>
    </w:pPr>
    <w:rPr>
      <w:rFonts w:ascii="Times" w:hAnsi="Times" w:cs="Times"/>
      <w:color w:val="000000"/>
      <w:sz w:val="24"/>
      <w:szCs w:val="24"/>
    </w:rPr>
  </w:style>
  <w:style w:type="character" w:styleId="PlaceholderText">
    <w:name w:val="Placeholder Text"/>
    <w:basedOn w:val="DefaultParagraphFont"/>
    <w:uiPriority w:val="99"/>
    <w:semiHidden/>
    <w:rsid w:val="00A433CB"/>
    <w:rPr>
      <w:color w:val="808080"/>
    </w:rPr>
  </w:style>
  <w:style w:type="paragraph" w:customStyle="1" w:styleId="DecimalAligned">
    <w:name w:val="Decimal Aligned"/>
    <w:basedOn w:val="Normal"/>
    <w:uiPriority w:val="40"/>
    <w:qFormat/>
    <w:rsid w:val="007D7677"/>
    <w:pPr>
      <w:tabs>
        <w:tab w:val="decimal" w:pos="360"/>
      </w:tabs>
      <w:spacing w:after="200" w:line="276" w:lineRule="auto"/>
    </w:pPr>
    <w:rPr>
      <w:rFonts w:asciiTheme="minorHAnsi" w:eastAsiaTheme="minorHAnsi" w:hAnsiTheme="minorHAnsi" w:cstheme="minorBidi"/>
      <w:szCs w:val="22"/>
      <w:lang w:eastAsia="ja-JP"/>
    </w:rPr>
  </w:style>
  <w:style w:type="character" w:customStyle="1" w:styleId="FootnoteTextChar">
    <w:name w:val="Footnote Text Char"/>
    <w:basedOn w:val="DefaultParagraphFont"/>
    <w:link w:val="FootnoteText"/>
    <w:uiPriority w:val="99"/>
    <w:rsid w:val="007D7677"/>
    <w:rPr>
      <w:rFonts w:ascii="Arial" w:hAnsi="Arial"/>
    </w:rPr>
  </w:style>
  <w:style w:type="character" w:styleId="SubtleEmphasis">
    <w:name w:val="Subtle Emphasis"/>
    <w:basedOn w:val="DefaultParagraphFont"/>
    <w:uiPriority w:val="19"/>
    <w:qFormat/>
    <w:rsid w:val="007D7677"/>
    <w:rPr>
      <w:i/>
      <w:iCs/>
      <w:color w:val="7F7F7F" w:themeColor="text1" w:themeTint="80"/>
    </w:rPr>
  </w:style>
  <w:style w:type="table" w:styleId="LightShading-Accent1">
    <w:name w:val="Light Shading Accent 1"/>
    <w:basedOn w:val="TableNormal"/>
    <w:uiPriority w:val="60"/>
    <w:rsid w:val="007D7677"/>
    <w:rPr>
      <w:rFonts w:asciiTheme="minorHAnsi" w:eastAsiaTheme="minorEastAsia" w:hAnsiTheme="minorHAnsi" w:cstheme="minorBidi"/>
      <w:color w:val="365F91" w:themeColor="accent1" w:themeShade="BF"/>
      <w:sz w:val="22"/>
      <w:szCs w:val="22"/>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6">
    <w:name w:val="Table Grid 6"/>
    <w:basedOn w:val="TableNormal"/>
    <w:rsid w:val="007D767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ghtList">
    <w:name w:val="Light List"/>
    <w:basedOn w:val="TableNormal"/>
    <w:uiPriority w:val="61"/>
    <w:rsid w:val="007D767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6A2FA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6A2FA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6A2FA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EndnoteTextChar">
    <w:name w:val="Endnote Text Char"/>
    <w:basedOn w:val="DefaultParagraphFont"/>
    <w:link w:val="EndnoteText"/>
    <w:semiHidden/>
    <w:rsid w:val="000118A4"/>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foot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D95"/>
    <w:rPr>
      <w:rFonts w:ascii="Arial" w:hAnsi="Arial"/>
      <w:sz w:val="22"/>
      <w:szCs w:val="24"/>
    </w:rPr>
  </w:style>
  <w:style w:type="paragraph" w:styleId="Heading1">
    <w:name w:val="heading 1"/>
    <w:basedOn w:val="Normal"/>
    <w:next w:val="Normal"/>
    <w:link w:val="Heading1Char"/>
    <w:qFormat/>
    <w:rsid w:val="00B845D5"/>
    <w:pPr>
      <w:keepNext/>
      <w:spacing w:before="240" w:after="60"/>
      <w:outlineLvl w:val="0"/>
    </w:pPr>
    <w:rPr>
      <w:rFonts w:cs="Arial"/>
      <w:b/>
      <w:bCs/>
      <w:kern w:val="32"/>
      <w:sz w:val="32"/>
      <w:szCs w:val="32"/>
    </w:rPr>
  </w:style>
  <w:style w:type="paragraph" w:styleId="Heading2">
    <w:name w:val="heading 2"/>
    <w:basedOn w:val="Normal"/>
    <w:next w:val="Normal"/>
    <w:qFormat/>
    <w:rsid w:val="00E71EF1"/>
    <w:pPr>
      <w:keepNext/>
      <w:spacing w:before="240" w:after="60"/>
      <w:outlineLvl w:val="1"/>
    </w:pPr>
    <w:rPr>
      <w:rFonts w:cs="Arial"/>
      <w:b/>
      <w:bCs/>
      <w:i/>
      <w:iCs/>
      <w:sz w:val="28"/>
      <w:szCs w:val="28"/>
    </w:rPr>
  </w:style>
  <w:style w:type="paragraph" w:styleId="Heading3">
    <w:name w:val="heading 3"/>
    <w:basedOn w:val="Normal"/>
    <w:next w:val="Normal"/>
    <w:qFormat/>
    <w:rsid w:val="003129E8"/>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20370"/>
    <w:pPr>
      <w:tabs>
        <w:tab w:val="right" w:leader="dot" w:pos="9350"/>
      </w:tabs>
    </w:pPr>
  </w:style>
  <w:style w:type="paragraph" w:styleId="TOC2">
    <w:name w:val="toc 2"/>
    <w:basedOn w:val="Normal"/>
    <w:next w:val="Normal"/>
    <w:autoRedefine/>
    <w:uiPriority w:val="39"/>
    <w:rsid w:val="000966CC"/>
    <w:pPr>
      <w:ind w:left="240"/>
    </w:pPr>
  </w:style>
  <w:style w:type="character" w:styleId="Hyperlink">
    <w:name w:val="Hyperlink"/>
    <w:uiPriority w:val="99"/>
    <w:rsid w:val="000966CC"/>
    <w:rPr>
      <w:color w:val="0000FF"/>
      <w:u w:val="single"/>
    </w:rPr>
  </w:style>
  <w:style w:type="paragraph" w:styleId="Footer">
    <w:name w:val="footer"/>
    <w:basedOn w:val="Normal"/>
    <w:link w:val="FooterChar"/>
    <w:uiPriority w:val="99"/>
    <w:rsid w:val="000966CC"/>
    <w:pPr>
      <w:tabs>
        <w:tab w:val="center" w:pos="4320"/>
        <w:tab w:val="right" w:pos="8640"/>
      </w:tabs>
    </w:pPr>
  </w:style>
  <w:style w:type="character" w:styleId="PageNumber">
    <w:name w:val="page number"/>
    <w:basedOn w:val="DefaultParagraphFont"/>
    <w:rsid w:val="000966CC"/>
  </w:style>
  <w:style w:type="paragraph" w:styleId="Header">
    <w:name w:val="header"/>
    <w:basedOn w:val="Normal"/>
    <w:rsid w:val="000966CC"/>
    <w:pPr>
      <w:tabs>
        <w:tab w:val="center" w:pos="4320"/>
        <w:tab w:val="right" w:pos="8640"/>
      </w:tabs>
    </w:pPr>
  </w:style>
  <w:style w:type="paragraph" w:styleId="TOC3">
    <w:name w:val="toc 3"/>
    <w:basedOn w:val="Normal"/>
    <w:next w:val="Normal"/>
    <w:autoRedefine/>
    <w:semiHidden/>
    <w:rsid w:val="00D33677"/>
    <w:pPr>
      <w:ind w:left="480"/>
    </w:pPr>
  </w:style>
  <w:style w:type="paragraph" w:styleId="EndnoteText">
    <w:name w:val="endnote text"/>
    <w:basedOn w:val="Normal"/>
    <w:link w:val="EndnoteTextChar"/>
    <w:semiHidden/>
    <w:rsid w:val="004551F3"/>
    <w:rPr>
      <w:sz w:val="20"/>
      <w:szCs w:val="20"/>
    </w:rPr>
  </w:style>
  <w:style w:type="character" w:styleId="EndnoteReference">
    <w:name w:val="endnote reference"/>
    <w:rsid w:val="004551F3"/>
    <w:rPr>
      <w:vertAlign w:val="superscript"/>
    </w:rPr>
  </w:style>
  <w:style w:type="paragraph" w:styleId="Index1">
    <w:name w:val="index 1"/>
    <w:basedOn w:val="Normal"/>
    <w:next w:val="Normal"/>
    <w:autoRedefine/>
    <w:semiHidden/>
    <w:rsid w:val="00F630A2"/>
    <w:pPr>
      <w:ind w:left="240" w:hanging="240"/>
    </w:pPr>
  </w:style>
  <w:style w:type="table" w:styleId="TableGrid">
    <w:name w:val="Table Grid"/>
    <w:basedOn w:val="TableNormal"/>
    <w:rsid w:val="00215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0571F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semiHidden/>
    <w:rsid w:val="00B24A6F"/>
    <w:rPr>
      <w:rFonts w:ascii="Tahoma" w:hAnsi="Tahoma" w:cs="Tahoma"/>
      <w:sz w:val="16"/>
      <w:szCs w:val="16"/>
    </w:rPr>
  </w:style>
  <w:style w:type="paragraph" w:styleId="Caption">
    <w:name w:val="caption"/>
    <w:basedOn w:val="Normal"/>
    <w:next w:val="Normal"/>
    <w:link w:val="CaptionChar"/>
    <w:qFormat/>
    <w:rsid w:val="00A7007B"/>
    <w:rPr>
      <w:b/>
      <w:bCs/>
      <w:sz w:val="20"/>
      <w:szCs w:val="20"/>
    </w:rPr>
  </w:style>
  <w:style w:type="paragraph" w:styleId="TableofFigures">
    <w:name w:val="table of figures"/>
    <w:basedOn w:val="Normal"/>
    <w:next w:val="Normal"/>
    <w:uiPriority w:val="99"/>
    <w:rsid w:val="0054599C"/>
  </w:style>
  <w:style w:type="paragraph" w:styleId="NormalWeb">
    <w:name w:val="Normal (Web)"/>
    <w:basedOn w:val="Normal"/>
    <w:uiPriority w:val="99"/>
    <w:rsid w:val="00D73550"/>
    <w:pPr>
      <w:spacing w:before="100" w:beforeAutospacing="1" w:after="100" w:afterAutospacing="1"/>
    </w:pPr>
  </w:style>
  <w:style w:type="character" w:styleId="FollowedHyperlink">
    <w:name w:val="FollowedHyperlink"/>
    <w:rsid w:val="00EA4E02"/>
    <w:rPr>
      <w:color w:val="800080"/>
      <w:u w:val="single"/>
    </w:rPr>
  </w:style>
  <w:style w:type="paragraph" w:customStyle="1" w:styleId="xl27">
    <w:name w:val="xl27"/>
    <w:basedOn w:val="Normal"/>
    <w:rsid w:val="00200174"/>
    <w:pPr>
      <w:pBdr>
        <w:bottom w:val="single" w:sz="12" w:space="0" w:color="FFFFFF"/>
        <w:right w:val="single" w:sz="12" w:space="0" w:color="FFFFFF"/>
      </w:pBdr>
      <w:shd w:val="pct75" w:color="000000" w:fill="333333"/>
      <w:spacing w:before="100" w:beforeAutospacing="1" w:after="100" w:afterAutospacing="1"/>
      <w:jc w:val="center"/>
    </w:pPr>
    <w:rPr>
      <w:b/>
      <w:bCs/>
      <w:color w:val="FFFFFF"/>
      <w:sz w:val="16"/>
      <w:szCs w:val="16"/>
    </w:rPr>
  </w:style>
  <w:style w:type="paragraph" w:customStyle="1" w:styleId="xl28">
    <w:name w:val="xl28"/>
    <w:basedOn w:val="Normal"/>
    <w:rsid w:val="00200174"/>
    <w:pPr>
      <w:pBdr>
        <w:bottom w:val="single" w:sz="12" w:space="0" w:color="FFFFFF"/>
        <w:right w:val="single" w:sz="12" w:space="0" w:color="FFFFFF"/>
      </w:pBdr>
      <w:spacing w:before="100" w:beforeAutospacing="1" w:after="100" w:afterAutospacing="1"/>
    </w:pPr>
    <w:rPr>
      <w:b/>
      <w:bCs/>
    </w:rPr>
  </w:style>
  <w:style w:type="paragraph" w:customStyle="1" w:styleId="xl29">
    <w:name w:val="xl29"/>
    <w:basedOn w:val="Normal"/>
    <w:rsid w:val="00200174"/>
    <w:pPr>
      <w:pBdr>
        <w:bottom w:val="single" w:sz="12" w:space="0" w:color="FFFFFF"/>
        <w:right w:val="single" w:sz="12" w:space="0" w:color="FFFFFF"/>
      </w:pBdr>
      <w:shd w:val="clear" w:color="auto" w:fill="FFCC99"/>
      <w:spacing w:before="100" w:beforeAutospacing="1" w:after="100" w:afterAutospacing="1"/>
    </w:pPr>
    <w:rPr>
      <w:b/>
      <w:bCs/>
    </w:rPr>
  </w:style>
  <w:style w:type="paragraph" w:customStyle="1" w:styleId="xl30">
    <w:name w:val="xl30"/>
    <w:basedOn w:val="Normal"/>
    <w:rsid w:val="00200174"/>
    <w:pPr>
      <w:pBdr>
        <w:bottom w:val="single" w:sz="12" w:space="0" w:color="FFFFFF"/>
        <w:right w:val="single" w:sz="12" w:space="0" w:color="FFFFFF"/>
      </w:pBdr>
      <w:shd w:val="clear" w:color="auto" w:fill="FFFF99"/>
      <w:spacing w:before="100" w:beforeAutospacing="1" w:after="100" w:afterAutospacing="1"/>
    </w:pPr>
    <w:rPr>
      <w:b/>
      <w:bCs/>
    </w:rPr>
  </w:style>
  <w:style w:type="paragraph" w:customStyle="1" w:styleId="xl31">
    <w:name w:val="xl31"/>
    <w:basedOn w:val="Normal"/>
    <w:rsid w:val="00200174"/>
    <w:pPr>
      <w:pBdr>
        <w:bottom w:val="single" w:sz="12" w:space="0" w:color="FFFFFF"/>
        <w:right w:val="single" w:sz="12" w:space="0" w:color="FFFFFF"/>
      </w:pBdr>
      <w:shd w:val="clear" w:color="auto" w:fill="CCFFCC"/>
      <w:spacing w:before="100" w:beforeAutospacing="1" w:after="100" w:afterAutospacing="1"/>
    </w:pPr>
    <w:rPr>
      <w:b/>
      <w:bCs/>
    </w:rPr>
  </w:style>
  <w:style w:type="paragraph" w:customStyle="1" w:styleId="xl32">
    <w:name w:val="xl32"/>
    <w:basedOn w:val="Normal"/>
    <w:rsid w:val="00200174"/>
    <w:pPr>
      <w:pBdr>
        <w:bottom w:val="single" w:sz="12" w:space="0" w:color="FFFFFF"/>
        <w:right w:val="single" w:sz="12" w:space="0" w:color="FFFFFF"/>
      </w:pBdr>
      <w:shd w:val="clear" w:color="auto" w:fill="CCFFFF"/>
      <w:spacing w:before="100" w:beforeAutospacing="1" w:after="100" w:afterAutospacing="1"/>
    </w:pPr>
    <w:rPr>
      <w:b/>
      <w:bCs/>
    </w:rPr>
  </w:style>
  <w:style w:type="paragraph" w:customStyle="1" w:styleId="xl33">
    <w:name w:val="xl33"/>
    <w:basedOn w:val="Normal"/>
    <w:rsid w:val="00200174"/>
    <w:pPr>
      <w:pBdr>
        <w:bottom w:val="single" w:sz="12" w:space="0" w:color="FFFFFF"/>
        <w:right w:val="single" w:sz="12" w:space="0" w:color="FFFFFF"/>
      </w:pBdr>
      <w:shd w:val="clear" w:color="auto" w:fill="99CCFF"/>
      <w:spacing w:before="100" w:beforeAutospacing="1" w:after="100" w:afterAutospacing="1"/>
    </w:pPr>
    <w:rPr>
      <w:b/>
      <w:bCs/>
    </w:rPr>
  </w:style>
  <w:style w:type="paragraph" w:customStyle="1" w:styleId="xl34">
    <w:name w:val="xl34"/>
    <w:basedOn w:val="Normal"/>
    <w:rsid w:val="00200174"/>
    <w:pPr>
      <w:pBdr>
        <w:bottom w:val="single" w:sz="12" w:space="0" w:color="FFFFFF"/>
        <w:right w:val="single" w:sz="12" w:space="0" w:color="FFFFFF"/>
      </w:pBdr>
      <w:shd w:val="clear" w:color="auto" w:fill="CC99FF"/>
      <w:spacing w:before="100" w:beforeAutospacing="1" w:after="100" w:afterAutospacing="1"/>
    </w:pPr>
    <w:rPr>
      <w:b/>
      <w:bCs/>
    </w:rPr>
  </w:style>
  <w:style w:type="paragraph" w:customStyle="1" w:styleId="xl35">
    <w:name w:val="xl35"/>
    <w:basedOn w:val="Normal"/>
    <w:rsid w:val="00200174"/>
    <w:pPr>
      <w:pBdr>
        <w:bottom w:val="single" w:sz="12" w:space="0" w:color="FFFFFF"/>
        <w:right w:val="single" w:sz="12" w:space="0" w:color="FFFFFF"/>
      </w:pBdr>
      <w:shd w:val="clear" w:color="auto" w:fill="00CCFF"/>
      <w:spacing w:before="100" w:beforeAutospacing="1" w:after="100" w:afterAutospacing="1"/>
    </w:pPr>
    <w:rPr>
      <w:b/>
      <w:bCs/>
    </w:rPr>
  </w:style>
  <w:style w:type="paragraph" w:customStyle="1" w:styleId="xl36">
    <w:name w:val="xl36"/>
    <w:basedOn w:val="Normal"/>
    <w:rsid w:val="00200174"/>
    <w:pPr>
      <w:pBdr>
        <w:bottom w:val="single" w:sz="12" w:space="0" w:color="FFFFFF"/>
        <w:right w:val="single" w:sz="12" w:space="0" w:color="FFFFFF"/>
      </w:pBdr>
      <w:shd w:val="clear" w:color="auto" w:fill="800080"/>
      <w:spacing w:before="100" w:beforeAutospacing="1" w:after="100" w:afterAutospacing="1"/>
    </w:pPr>
    <w:rPr>
      <w:b/>
      <w:bCs/>
    </w:rPr>
  </w:style>
  <w:style w:type="paragraph" w:customStyle="1" w:styleId="xl37">
    <w:name w:val="xl37"/>
    <w:basedOn w:val="Normal"/>
    <w:rsid w:val="00200174"/>
    <w:pPr>
      <w:pBdr>
        <w:bottom w:val="single" w:sz="12" w:space="0" w:color="FFFFFF"/>
        <w:right w:val="single" w:sz="12" w:space="0" w:color="FFFFFF"/>
      </w:pBdr>
      <w:shd w:val="clear" w:color="auto" w:fill="FF00FF"/>
      <w:spacing w:before="100" w:beforeAutospacing="1" w:after="100" w:afterAutospacing="1"/>
    </w:pPr>
    <w:rPr>
      <w:b/>
      <w:bCs/>
    </w:rPr>
  </w:style>
  <w:style w:type="paragraph" w:customStyle="1" w:styleId="xl38">
    <w:name w:val="xl38"/>
    <w:basedOn w:val="Normal"/>
    <w:rsid w:val="00200174"/>
    <w:pPr>
      <w:pBdr>
        <w:bottom w:val="single" w:sz="12" w:space="0" w:color="FFFFFF"/>
        <w:right w:val="single" w:sz="12" w:space="0" w:color="FFFFFF"/>
      </w:pBdr>
      <w:shd w:val="clear" w:color="auto" w:fill="FFCC00"/>
      <w:spacing w:before="100" w:beforeAutospacing="1" w:after="100" w:afterAutospacing="1"/>
    </w:pPr>
    <w:rPr>
      <w:b/>
      <w:bCs/>
    </w:rPr>
  </w:style>
  <w:style w:type="paragraph" w:customStyle="1" w:styleId="xl39">
    <w:name w:val="xl39"/>
    <w:basedOn w:val="Normal"/>
    <w:rsid w:val="00200174"/>
    <w:pPr>
      <w:pBdr>
        <w:bottom w:val="single" w:sz="12" w:space="0" w:color="FFFFFF"/>
        <w:right w:val="single" w:sz="12" w:space="0" w:color="FFFFFF"/>
      </w:pBdr>
      <w:shd w:val="clear" w:color="auto" w:fill="FFFF00"/>
      <w:spacing w:before="100" w:beforeAutospacing="1" w:after="100" w:afterAutospacing="1"/>
    </w:pPr>
    <w:rPr>
      <w:b/>
      <w:bCs/>
    </w:rPr>
  </w:style>
  <w:style w:type="paragraph" w:customStyle="1" w:styleId="xl40">
    <w:name w:val="xl40"/>
    <w:basedOn w:val="Normal"/>
    <w:rsid w:val="00200174"/>
    <w:pPr>
      <w:pBdr>
        <w:bottom w:val="single" w:sz="12" w:space="0" w:color="FFFFFF"/>
        <w:right w:val="single" w:sz="12" w:space="0" w:color="FFFFFF"/>
      </w:pBdr>
      <w:shd w:val="clear" w:color="auto" w:fill="00FF00"/>
      <w:spacing w:before="100" w:beforeAutospacing="1" w:after="100" w:afterAutospacing="1"/>
    </w:pPr>
    <w:rPr>
      <w:b/>
      <w:bCs/>
    </w:rPr>
  </w:style>
  <w:style w:type="paragraph" w:customStyle="1" w:styleId="xl41">
    <w:name w:val="xl41"/>
    <w:basedOn w:val="Normal"/>
    <w:rsid w:val="00200174"/>
    <w:pPr>
      <w:pBdr>
        <w:bottom w:val="single" w:sz="12" w:space="0" w:color="FFFFFF"/>
        <w:right w:val="single" w:sz="12" w:space="0" w:color="FFFFFF"/>
      </w:pBdr>
      <w:shd w:val="clear" w:color="auto" w:fill="00FFFF"/>
      <w:spacing w:before="100" w:beforeAutospacing="1" w:after="100" w:afterAutospacing="1"/>
    </w:pPr>
    <w:rPr>
      <w:b/>
      <w:bCs/>
    </w:rPr>
  </w:style>
  <w:style w:type="paragraph" w:customStyle="1" w:styleId="xl42">
    <w:name w:val="xl42"/>
    <w:basedOn w:val="Normal"/>
    <w:rsid w:val="00200174"/>
    <w:pPr>
      <w:pBdr>
        <w:bottom w:val="single" w:sz="12" w:space="0" w:color="FFFFFF"/>
        <w:right w:val="single" w:sz="12" w:space="0" w:color="FFFFFF"/>
      </w:pBdr>
      <w:shd w:val="clear" w:color="auto" w:fill="993366"/>
      <w:spacing w:before="100" w:beforeAutospacing="1" w:after="100" w:afterAutospacing="1"/>
    </w:pPr>
    <w:rPr>
      <w:b/>
      <w:bCs/>
    </w:rPr>
  </w:style>
  <w:style w:type="paragraph" w:customStyle="1" w:styleId="xl43">
    <w:name w:val="xl43"/>
    <w:basedOn w:val="Normal"/>
    <w:rsid w:val="00200174"/>
    <w:pPr>
      <w:pBdr>
        <w:bottom w:val="single" w:sz="12" w:space="0" w:color="FFFFFF"/>
        <w:right w:val="single" w:sz="12" w:space="0" w:color="FFFFFF"/>
      </w:pBdr>
      <w:shd w:val="clear" w:color="auto" w:fill="FF6600"/>
      <w:spacing w:before="100" w:beforeAutospacing="1" w:after="100" w:afterAutospacing="1"/>
    </w:pPr>
    <w:rPr>
      <w:b/>
      <w:bCs/>
    </w:rPr>
  </w:style>
  <w:style w:type="paragraph" w:customStyle="1" w:styleId="xl44">
    <w:name w:val="xl44"/>
    <w:basedOn w:val="Normal"/>
    <w:rsid w:val="00200174"/>
    <w:pPr>
      <w:pBdr>
        <w:bottom w:val="single" w:sz="12" w:space="0" w:color="FFFFFF"/>
        <w:right w:val="single" w:sz="12" w:space="0" w:color="FFFFFF"/>
      </w:pBdr>
      <w:shd w:val="clear" w:color="auto" w:fill="FF99CC"/>
      <w:spacing w:before="100" w:beforeAutospacing="1" w:after="100" w:afterAutospacing="1"/>
    </w:pPr>
    <w:rPr>
      <w:b/>
      <w:bCs/>
    </w:rPr>
  </w:style>
  <w:style w:type="paragraph" w:customStyle="1" w:styleId="xl45">
    <w:name w:val="xl45"/>
    <w:basedOn w:val="Normal"/>
    <w:rsid w:val="00200174"/>
    <w:pPr>
      <w:pBdr>
        <w:bottom w:val="single" w:sz="12" w:space="0" w:color="FFFFFF"/>
        <w:right w:val="single" w:sz="12" w:space="0" w:color="FFFFFF"/>
      </w:pBdr>
      <w:shd w:val="clear" w:color="auto" w:fill="3366FF"/>
      <w:spacing w:before="100" w:beforeAutospacing="1" w:after="100" w:afterAutospacing="1"/>
    </w:pPr>
    <w:rPr>
      <w:b/>
      <w:bCs/>
    </w:rPr>
  </w:style>
  <w:style w:type="paragraph" w:customStyle="1" w:styleId="xl46">
    <w:name w:val="xl46"/>
    <w:basedOn w:val="Normal"/>
    <w:rsid w:val="00200174"/>
    <w:pPr>
      <w:pBdr>
        <w:bottom w:val="single" w:sz="12" w:space="0" w:color="FFFFFF"/>
        <w:right w:val="single" w:sz="12" w:space="0" w:color="FFFFFF"/>
      </w:pBdr>
      <w:shd w:val="clear" w:color="auto" w:fill="808000"/>
      <w:spacing w:before="100" w:beforeAutospacing="1" w:after="100" w:afterAutospacing="1"/>
    </w:pPr>
    <w:rPr>
      <w:b/>
      <w:bCs/>
    </w:rPr>
  </w:style>
  <w:style w:type="paragraph" w:customStyle="1" w:styleId="xl47">
    <w:name w:val="xl47"/>
    <w:basedOn w:val="Normal"/>
    <w:rsid w:val="00200174"/>
    <w:pPr>
      <w:pBdr>
        <w:bottom w:val="single" w:sz="12" w:space="0" w:color="FFFFFF"/>
        <w:right w:val="single" w:sz="12" w:space="0" w:color="FFFFFF"/>
      </w:pBdr>
      <w:shd w:val="clear" w:color="auto" w:fill="008000"/>
      <w:spacing w:before="100" w:beforeAutospacing="1" w:after="100" w:afterAutospacing="1"/>
    </w:pPr>
    <w:rPr>
      <w:b/>
      <w:bCs/>
    </w:rPr>
  </w:style>
  <w:style w:type="paragraph" w:customStyle="1" w:styleId="xl48">
    <w:name w:val="xl48"/>
    <w:basedOn w:val="Normal"/>
    <w:rsid w:val="00200174"/>
    <w:pPr>
      <w:pBdr>
        <w:bottom w:val="single" w:sz="12" w:space="0" w:color="FFFFFF"/>
        <w:right w:val="single" w:sz="12" w:space="0" w:color="FFFFFF"/>
      </w:pBdr>
      <w:shd w:val="clear" w:color="auto" w:fill="008080"/>
      <w:spacing w:before="100" w:beforeAutospacing="1" w:after="100" w:afterAutospacing="1"/>
    </w:pPr>
    <w:rPr>
      <w:b/>
      <w:bCs/>
    </w:rPr>
  </w:style>
  <w:style w:type="paragraph" w:customStyle="1" w:styleId="xl49">
    <w:name w:val="xl49"/>
    <w:basedOn w:val="Normal"/>
    <w:rsid w:val="00200174"/>
    <w:pPr>
      <w:pBdr>
        <w:bottom w:val="single" w:sz="12" w:space="0" w:color="FFFFFF"/>
        <w:right w:val="single" w:sz="12" w:space="0" w:color="FFFFFF"/>
      </w:pBdr>
      <w:shd w:val="clear" w:color="auto" w:fill="0000FF"/>
      <w:spacing w:before="100" w:beforeAutospacing="1" w:after="100" w:afterAutospacing="1"/>
    </w:pPr>
    <w:rPr>
      <w:b/>
      <w:bCs/>
    </w:rPr>
  </w:style>
  <w:style w:type="paragraph" w:customStyle="1" w:styleId="xl50">
    <w:name w:val="xl50"/>
    <w:basedOn w:val="Normal"/>
    <w:rsid w:val="00200174"/>
    <w:pPr>
      <w:pBdr>
        <w:bottom w:val="single" w:sz="12" w:space="0" w:color="FFFFFF"/>
        <w:right w:val="single" w:sz="12" w:space="0" w:color="FFFFFF"/>
      </w:pBdr>
      <w:shd w:val="clear" w:color="auto" w:fill="666699"/>
      <w:spacing w:before="100" w:beforeAutospacing="1" w:after="100" w:afterAutospacing="1"/>
    </w:pPr>
    <w:rPr>
      <w:b/>
      <w:bCs/>
    </w:rPr>
  </w:style>
  <w:style w:type="paragraph" w:customStyle="1" w:styleId="xl51">
    <w:name w:val="xl51"/>
    <w:basedOn w:val="Normal"/>
    <w:rsid w:val="00200174"/>
    <w:pPr>
      <w:pBdr>
        <w:bottom w:val="single" w:sz="12" w:space="0" w:color="FFFFFF"/>
        <w:right w:val="single" w:sz="12" w:space="0" w:color="FFFFFF"/>
      </w:pBdr>
      <w:shd w:val="clear" w:color="auto" w:fill="FF0000"/>
      <w:spacing w:before="100" w:beforeAutospacing="1" w:after="100" w:afterAutospacing="1"/>
    </w:pPr>
    <w:rPr>
      <w:b/>
      <w:bCs/>
    </w:rPr>
  </w:style>
  <w:style w:type="paragraph" w:customStyle="1" w:styleId="xl52">
    <w:name w:val="xl52"/>
    <w:basedOn w:val="Normal"/>
    <w:rsid w:val="00200174"/>
    <w:pPr>
      <w:pBdr>
        <w:bottom w:val="single" w:sz="12" w:space="0" w:color="FFFFFF"/>
        <w:right w:val="single" w:sz="12" w:space="0" w:color="FFFFFF"/>
      </w:pBdr>
      <w:shd w:val="clear" w:color="auto" w:fill="FF9900"/>
      <w:spacing w:before="100" w:beforeAutospacing="1" w:after="100" w:afterAutospacing="1"/>
    </w:pPr>
    <w:rPr>
      <w:b/>
      <w:bCs/>
    </w:rPr>
  </w:style>
  <w:style w:type="paragraph" w:customStyle="1" w:styleId="xl53">
    <w:name w:val="xl53"/>
    <w:basedOn w:val="Normal"/>
    <w:rsid w:val="00200174"/>
    <w:pPr>
      <w:pBdr>
        <w:bottom w:val="single" w:sz="12" w:space="0" w:color="FFFFFF"/>
        <w:right w:val="single" w:sz="12" w:space="0" w:color="FFFFFF"/>
      </w:pBdr>
      <w:shd w:val="clear" w:color="auto" w:fill="C0C0C0"/>
      <w:spacing w:before="100" w:beforeAutospacing="1" w:after="100" w:afterAutospacing="1"/>
      <w:jc w:val="center"/>
    </w:pPr>
    <w:rPr>
      <w:sz w:val="16"/>
      <w:szCs w:val="16"/>
    </w:rPr>
  </w:style>
  <w:style w:type="paragraph" w:customStyle="1" w:styleId="xl54">
    <w:name w:val="xl54"/>
    <w:basedOn w:val="Normal"/>
    <w:rsid w:val="00200174"/>
    <w:pPr>
      <w:pBdr>
        <w:bottom w:val="single" w:sz="12" w:space="0" w:color="FFFFFF"/>
        <w:right w:val="single" w:sz="12" w:space="0" w:color="FFFFFF"/>
      </w:pBdr>
      <w:shd w:val="clear" w:color="auto" w:fill="C0C0C0"/>
      <w:spacing w:before="100" w:beforeAutospacing="1" w:after="100" w:afterAutospacing="1"/>
    </w:pPr>
  </w:style>
  <w:style w:type="paragraph" w:customStyle="1" w:styleId="xl55">
    <w:name w:val="xl55"/>
    <w:basedOn w:val="Normal"/>
    <w:rsid w:val="00200174"/>
    <w:pPr>
      <w:pBdr>
        <w:bottom w:val="single" w:sz="12" w:space="0" w:color="FFFFFF"/>
        <w:right w:val="single" w:sz="12" w:space="0" w:color="FFFFFF"/>
      </w:pBdr>
      <w:shd w:val="clear" w:color="auto" w:fill="C0C0C0"/>
      <w:spacing w:before="100" w:beforeAutospacing="1" w:after="100" w:afterAutospacing="1"/>
    </w:pPr>
    <w:rPr>
      <w:b/>
      <w:bCs/>
    </w:rPr>
  </w:style>
  <w:style w:type="paragraph" w:customStyle="1" w:styleId="xl56">
    <w:name w:val="xl56"/>
    <w:basedOn w:val="Normal"/>
    <w:rsid w:val="00200174"/>
    <w:pPr>
      <w:pBdr>
        <w:bottom w:val="single" w:sz="12" w:space="0" w:color="FFFFFF"/>
        <w:right w:val="single" w:sz="12" w:space="0" w:color="FFFFFF"/>
      </w:pBdr>
      <w:shd w:val="clear" w:color="auto" w:fill="C0C0C0"/>
      <w:spacing w:before="100" w:beforeAutospacing="1" w:after="100" w:afterAutospacing="1"/>
    </w:pPr>
  </w:style>
  <w:style w:type="paragraph" w:customStyle="1" w:styleId="xl57">
    <w:name w:val="xl57"/>
    <w:basedOn w:val="Normal"/>
    <w:rsid w:val="00200174"/>
    <w:pPr>
      <w:pBdr>
        <w:bottom w:val="single" w:sz="12" w:space="0" w:color="FFFFFF"/>
        <w:right w:val="single" w:sz="12" w:space="0" w:color="FFFFFF"/>
      </w:pBdr>
      <w:shd w:val="clear" w:color="auto" w:fill="969696"/>
      <w:spacing w:before="100" w:beforeAutospacing="1" w:after="100" w:afterAutospacing="1"/>
      <w:jc w:val="center"/>
    </w:pPr>
    <w:rPr>
      <w:sz w:val="16"/>
      <w:szCs w:val="16"/>
    </w:rPr>
  </w:style>
  <w:style w:type="paragraph" w:customStyle="1" w:styleId="xl58">
    <w:name w:val="xl58"/>
    <w:basedOn w:val="Normal"/>
    <w:rsid w:val="00200174"/>
    <w:pPr>
      <w:pBdr>
        <w:bottom w:val="single" w:sz="12" w:space="0" w:color="FFFFFF"/>
        <w:right w:val="single" w:sz="12" w:space="0" w:color="FFFFFF"/>
      </w:pBdr>
      <w:shd w:val="clear" w:color="auto" w:fill="969696"/>
      <w:spacing w:before="100" w:beforeAutospacing="1" w:after="100" w:afterAutospacing="1"/>
    </w:pPr>
  </w:style>
  <w:style w:type="paragraph" w:customStyle="1" w:styleId="xl59">
    <w:name w:val="xl59"/>
    <w:basedOn w:val="Normal"/>
    <w:rsid w:val="00200174"/>
    <w:pPr>
      <w:pBdr>
        <w:bottom w:val="single" w:sz="12" w:space="0" w:color="FFFFFF"/>
        <w:right w:val="single" w:sz="12" w:space="0" w:color="FFFFFF"/>
      </w:pBdr>
      <w:shd w:val="clear" w:color="auto" w:fill="969696"/>
      <w:spacing w:before="100" w:beforeAutospacing="1" w:after="100" w:afterAutospacing="1"/>
    </w:pPr>
    <w:rPr>
      <w:b/>
      <w:bCs/>
    </w:rPr>
  </w:style>
  <w:style w:type="paragraph" w:customStyle="1" w:styleId="xl60">
    <w:name w:val="xl60"/>
    <w:basedOn w:val="Normal"/>
    <w:rsid w:val="00200174"/>
    <w:pPr>
      <w:pBdr>
        <w:bottom w:val="single" w:sz="12" w:space="0" w:color="FFFFFF"/>
        <w:right w:val="single" w:sz="12" w:space="0" w:color="FFFFFF"/>
      </w:pBdr>
      <w:shd w:val="clear" w:color="auto" w:fill="969696"/>
      <w:spacing w:before="100" w:beforeAutospacing="1" w:after="100" w:afterAutospacing="1"/>
    </w:pPr>
  </w:style>
  <w:style w:type="paragraph" w:customStyle="1" w:styleId="xl61">
    <w:name w:val="xl61"/>
    <w:basedOn w:val="Normal"/>
    <w:rsid w:val="00200174"/>
    <w:pPr>
      <w:pBdr>
        <w:bottom w:val="single" w:sz="12" w:space="0" w:color="FFFFFF"/>
        <w:right w:val="single" w:sz="12" w:space="0" w:color="FFFFFF"/>
      </w:pBdr>
      <w:shd w:val="clear" w:color="auto" w:fill="C0C0C0"/>
      <w:spacing w:before="100" w:beforeAutospacing="1" w:after="100" w:afterAutospacing="1"/>
    </w:pPr>
    <w:rPr>
      <w:b/>
      <w:bCs/>
    </w:rPr>
  </w:style>
  <w:style w:type="paragraph" w:customStyle="1" w:styleId="xl62">
    <w:name w:val="xl62"/>
    <w:basedOn w:val="Normal"/>
    <w:rsid w:val="00200174"/>
    <w:pPr>
      <w:pBdr>
        <w:bottom w:val="single" w:sz="12" w:space="0" w:color="FFFFFF"/>
        <w:right w:val="single" w:sz="12" w:space="0" w:color="FFFFFF"/>
      </w:pBdr>
      <w:shd w:val="clear" w:color="auto" w:fill="C0C0C0"/>
      <w:spacing w:before="100" w:beforeAutospacing="1" w:after="100" w:afterAutospacing="1"/>
    </w:pPr>
    <w:rPr>
      <w:b/>
      <w:bCs/>
    </w:rPr>
  </w:style>
  <w:style w:type="paragraph" w:customStyle="1" w:styleId="xl63">
    <w:name w:val="xl63"/>
    <w:basedOn w:val="Normal"/>
    <w:rsid w:val="00200174"/>
    <w:pPr>
      <w:pBdr>
        <w:bottom w:val="single" w:sz="12" w:space="0" w:color="FFFFFF"/>
        <w:right w:val="single" w:sz="12" w:space="0" w:color="FFFFFF"/>
      </w:pBdr>
      <w:shd w:val="clear" w:color="auto" w:fill="C0C0C0"/>
      <w:spacing w:before="100" w:beforeAutospacing="1" w:after="100" w:afterAutospacing="1"/>
    </w:pPr>
  </w:style>
  <w:style w:type="paragraph" w:customStyle="1" w:styleId="xl64">
    <w:name w:val="xl64"/>
    <w:basedOn w:val="Normal"/>
    <w:rsid w:val="00200174"/>
    <w:pPr>
      <w:pBdr>
        <w:bottom w:val="single" w:sz="12" w:space="0" w:color="FFFFFF"/>
        <w:right w:val="single" w:sz="12" w:space="0" w:color="FFFFFF"/>
      </w:pBdr>
      <w:shd w:val="clear" w:color="auto" w:fill="969696"/>
      <w:spacing w:before="100" w:beforeAutospacing="1" w:after="100" w:afterAutospacing="1"/>
    </w:pPr>
    <w:rPr>
      <w:b/>
      <w:bCs/>
    </w:rPr>
  </w:style>
  <w:style w:type="paragraph" w:customStyle="1" w:styleId="xl65">
    <w:name w:val="xl65"/>
    <w:basedOn w:val="Normal"/>
    <w:rsid w:val="00200174"/>
    <w:pPr>
      <w:pBdr>
        <w:bottom w:val="single" w:sz="12" w:space="0" w:color="FFFFFF"/>
        <w:right w:val="single" w:sz="12" w:space="0" w:color="FFFFFF"/>
      </w:pBdr>
      <w:shd w:val="clear" w:color="auto" w:fill="969696"/>
      <w:spacing w:before="100" w:beforeAutospacing="1" w:after="100" w:afterAutospacing="1"/>
    </w:pPr>
    <w:rPr>
      <w:b/>
      <w:bCs/>
    </w:rPr>
  </w:style>
  <w:style w:type="paragraph" w:customStyle="1" w:styleId="xl66">
    <w:name w:val="xl66"/>
    <w:basedOn w:val="Normal"/>
    <w:rsid w:val="00200174"/>
    <w:pPr>
      <w:pBdr>
        <w:bottom w:val="single" w:sz="12" w:space="0" w:color="FFFFFF"/>
        <w:right w:val="single" w:sz="12" w:space="0" w:color="FFFFFF"/>
      </w:pBdr>
      <w:shd w:val="clear" w:color="auto" w:fill="969696"/>
      <w:spacing w:before="100" w:beforeAutospacing="1" w:after="100" w:afterAutospacing="1"/>
    </w:pPr>
  </w:style>
  <w:style w:type="table" w:styleId="TableElegant">
    <w:name w:val="Table Elegant"/>
    <w:basedOn w:val="TableNormal"/>
    <w:rsid w:val="00B351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um1">
    <w:name w:val="num1"/>
    <w:basedOn w:val="Normal"/>
    <w:rsid w:val="00F652AB"/>
    <w:pPr>
      <w:tabs>
        <w:tab w:val="left" w:pos="-720"/>
      </w:tabs>
      <w:suppressAutoHyphens/>
      <w:spacing w:line="360" w:lineRule="auto"/>
      <w:ind w:firstLine="360"/>
    </w:pPr>
    <w:rPr>
      <w:rFonts w:ascii="Palatino" w:hAnsi="Palatino"/>
      <w:sz w:val="26"/>
      <w:szCs w:val="20"/>
    </w:rPr>
  </w:style>
  <w:style w:type="paragraph" w:styleId="DocumentMap">
    <w:name w:val="Document Map"/>
    <w:basedOn w:val="Normal"/>
    <w:semiHidden/>
    <w:rsid w:val="00B008BF"/>
    <w:pPr>
      <w:shd w:val="clear" w:color="auto" w:fill="000080"/>
    </w:pPr>
    <w:rPr>
      <w:rFonts w:ascii="Tahoma" w:hAnsi="Tahoma" w:cs="Tahoma"/>
      <w:sz w:val="20"/>
      <w:szCs w:val="20"/>
    </w:rPr>
  </w:style>
  <w:style w:type="character" w:styleId="CommentReference">
    <w:name w:val="annotation reference"/>
    <w:semiHidden/>
    <w:rsid w:val="0042297B"/>
    <w:rPr>
      <w:sz w:val="16"/>
      <w:szCs w:val="16"/>
    </w:rPr>
  </w:style>
  <w:style w:type="paragraph" w:styleId="CommentText">
    <w:name w:val="annotation text"/>
    <w:basedOn w:val="Normal"/>
    <w:semiHidden/>
    <w:rsid w:val="0042297B"/>
    <w:rPr>
      <w:sz w:val="20"/>
      <w:szCs w:val="20"/>
    </w:rPr>
  </w:style>
  <w:style w:type="paragraph" w:styleId="CommentSubject">
    <w:name w:val="annotation subject"/>
    <w:basedOn w:val="CommentText"/>
    <w:next w:val="CommentText"/>
    <w:semiHidden/>
    <w:rsid w:val="0042297B"/>
    <w:rPr>
      <w:b/>
      <w:bCs/>
    </w:rPr>
  </w:style>
  <w:style w:type="paragraph" w:styleId="FootnoteText">
    <w:name w:val="footnote text"/>
    <w:basedOn w:val="Normal"/>
    <w:link w:val="FootnoteTextChar"/>
    <w:uiPriority w:val="99"/>
    <w:rsid w:val="007475AA"/>
    <w:rPr>
      <w:sz w:val="20"/>
      <w:szCs w:val="20"/>
    </w:rPr>
  </w:style>
  <w:style w:type="character" w:styleId="FootnoteReference">
    <w:name w:val="footnote reference"/>
    <w:semiHidden/>
    <w:rsid w:val="007475AA"/>
    <w:rPr>
      <w:vertAlign w:val="superscript"/>
    </w:rPr>
  </w:style>
  <w:style w:type="paragraph" w:customStyle="1" w:styleId="Reminders">
    <w:name w:val="Reminders"/>
    <w:basedOn w:val="Normal"/>
    <w:link w:val="RemindersChar"/>
    <w:rsid w:val="001C2942"/>
    <w:pPr>
      <w:spacing w:before="40" w:after="40"/>
    </w:pPr>
    <w:rPr>
      <w:rFonts w:ascii="Trebuchet MS" w:eastAsia="Calibri" w:hAnsi="Trebuchet MS"/>
      <w:i/>
      <w:color w:val="FF0000"/>
    </w:rPr>
  </w:style>
  <w:style w:type="paragraph" w:customStyle="1" w:styleId="Reminder">
    <w:name w:val="Reminder"/>
    <w:basedOn w:val="Reminders"/>
    <w:link w:val="ReminderChar"/>
    <w:rsid w:val="001C2942"/>
  </w:style>
  <w:style w:type="character" w:customStyle="1" w:styleId="RemindersChar">
    <w:name w:val="Reminders Char"/>
    <w:link w:val="Reminders"/>
    <w:locked/>
    <w:rsid w:val="001C2942"/>
    <w:rPr>
      <w:rFonts w:ascii="Trebuchet MS" w:eastAsia="Calibri" w:hAnsi="Trebuchet MS"/>
      <w:i/>
      <w:color w:val="FF0000"/>
      <w:sz w:val="24"/>
      <w:szCs w:val="24"/>
      <w:lang w:val="en-US" w:eastAsia="en-US" w:bidi="ar-SA"/>
    </w:rPr>
  </w:style>
  <w:style w:type="character" w:customStyle="1" w:styleId="ReminderChar">
    <w:name w:val="Reminder Char"/>
    <w:link w:val="Reminder"/>
    <w:locked/>
    <w:rsid w:val="001C2942"/>
    <w:rPr>
      <w:rFonts w:ascii="Trebuchet MS" w:eastAsia="Calibri" w:hAnsi="Trebuchet MS"/>
      <w:i/>
      <w:color w:val="FF0000"/>
      <w:sz w:val="24"/>
      <w:szCs w:val="24"/>
      <w:lang w:val="en-US" w:eastAsia="en-US" w:bidi="ar-SA"/>
    </w:rPr>
  </w:style>
  <w:style w:type="character" w:customStyle="1" w:styleId="CaptionChar">
    <w:name w:val="Caption Char"/>
    <w:link w:val="Caption"/>
    <w:locked/>
    <w:rsid w:val="001C2942"/>
    <w:rPr>
      <w:b/>
      <w:bCs/>
      <w:lang w:val="en-US" w:eastAsia="en-US" w:bidi="ar-SA"/>
    </w:rPr>
  </w:style>
  <w:style w:type="character" w:styleId="Strong">
    <w:name w:val="Strong"/>
    <w:link w:val="TitleChar"/>
    <w:qFormat/>
    <w:rsid w:val="00003527"/>
    <w:rPr>
      <w:rFonts w:ascii="Arial" w:hAnsi="Arial"/>
      <w:b/>
      <w:bCs/>
      <w:sz w:val="22"/>
    </w:rPr>
  </w:style>
  <w:style w:type="character" w:customStyle="1" w:styleId="TitleChar">
    <w:name w:val="Title Char"/>
    <w:link w:val="Strong"/>
    <w:locked/>
    <w:rsid w:val="000E22C9"/>
    <w:rPr>
      <w:rFonts w:ascii="Arial" w:hAnsi="Arial"/>
      <w:b/>
      <w:color w:val="17365D"/>
      <w:spacing w:val="5"/>
      <w:kern w:val="28"/>
      <w:sz w:val="48"/>
      <w:szCs w:val="52"/>
      <w:lang w:eastAsia="ko-KR"/>
    </w:rPr>
  </w:style>
  <w:style w:type="character" w:customStyle="1" w:styleId="Heading1Char">
    <w:name w:val="Heading 1 Char"/>
    <w:link w:val="Heading1"/>
    <w:locked/>
    <w:rsid w:val="00B845D5"/>
    <w:rPr>
      <w:rFonts w:ascii="Arial" w:hAnsi="Arial" w:cs="Arial"/>
      <w:b/>
      <w:bCs/>
      <w:kern w:val="32"/>
      <w:sz w:val="32"/>
      <w:szCs w:val="32"/>
    </w:rPr>
  </w:style>
  <w:style w:type="character" w:customStyle="1" w:styleId="Strong1">
    <w:name w:val="Strong1"/>
    <w:qFormat/>
    <w:rsid w:val="00A55DD1"/>
    <w:rPr>
      <w:b/>
      <w:bCs/>
    </w:rPr>
  </w:style>
  <w:style w:type="character" w:customStyle="1" w:styleId="SubtitleChar">
    <w:name w:val="Subtitle Char"/>
    <w:rsid w:val="000E22C9"/>
    <w:rPr>
      <w:rFonts w:ascii="Arial" w:eastAsia="Times New Roman" w:hAnsi="Arial" w:cs="Times New Roman"/>
      <w:b/>
      <w:sz w:val="36"/>
      <w:szCs w:val="24"/>
    </w:rPr>
  </w:style>
  <w:style w:type="paragraph" w:styleId="TOCHeading">
    <w:name w:val="TOC Heading"/>
    <w:basedOn w:val="Heading1"/>
    <w:next w:val="Normal"/>
    <w:uiPriority w:val="39"/>
    <w:semiHidden/>
    <w:unhideWhenUsed/>
    <w:qFormat/>
    <w:rsid w:val="00FA47E6"/>
    <w:pPr>
      <w:keepLines/>
      <w:spacing w:before="480" w:after="0" w:line="276" w:lineRule="auto"/>
      <w:outlineLvl w:val="9"/>
    </w:pPr>
    <w:rPr>
      <w:rFonts w:ascii="Cambria" w:eastAsia="MS Gothic" w:hAnsi="Cambria" w:cs="Times New Roman"/>
      <w:color w:val="365F91"/>
      <w:kern w:val="0"/>
      <w:sz w:val="28"/>
      <w:szCs w:val="28"/>
      <w:lang w:eastAsia="ja-JP"/>
    </w:rPr>
  </w:style>
  <w:style w:type="table" w:customStyle="1" w:styleId="PGEWorkPaper">
    <w:name w:val="PG&amp;E Work Paper"/>
    <w:basedOn w:val="TableContemporary"/>
    <w:uiPriority w:val="99"/>
    <w:rsid w:val="009B1863"/>
    <w:pPr>
      <w:jc w:val="center"/>
    </w:pPr>
    <w:rPr>
      <w:rFonts w:ascii="Arial" w:hAnsi="Arial"/>
    </w:rPr>
    <w:tblPr>
      <w:tblBorders>
        <w:top w:val="single" w:sz="18" w:space="0" w:color="FFFFFF"/>
        <w:left w:val="single" w:sz="18" w:space="0" w:color="FFFFFF"/>
        <w:bottom w:val="single" w:sz="18" w:space="0" w:color="FFFFFF"/>
        <w:right w:val="single" w:sz="18" w:space="0" w:color="FFFFFF"/>
      </w:tblBorders>
    </w:tblPr>
    <w:tcPr>
      <w:shd w:val="clear" w:color="auto" w:fill="CBCBCB"/>
      <w:vAlign w:val="bottom"/>
    </w:tcPr>
    <w:tblStylePr w:type="firstRow">
      <w:pPr>
        <w:keepNext w:val="0"/>
        <w:keepLines/>
        <w:widowControl/>
        <w:wordWrap/>
        <w:jc w:val="center"/>
      </w:pPr>
      <w:rPr>
        <w:rFonts w:ascii="Arial" w:hAnsi="Arial"/>
        <w:b/>
        <w:bCs/>
        <w:color w:val="F2F2F2"/>
        <w:position w:val="0"/>
      </w:rPr>
      <w:tblPr/>
      <w:tcPr>
        <w:tcBorders>
          <w:tl2br w:val="none" w:sz="0" w:space="0" w:color="auto"/>
          <w:tr2bl w:val="none" w:sz="0" w:space="0" w:color="auto"/>
        </w:tcBorders>
        <w:shd w:val="clear" w:color="auto" w:fill="262626"/>
        <w:vAlign w:val="bottom"/>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Revision">
    <w:name w:val="Revision"/>
    <w:hidden/>
    <w:uiPriority w:val="99"/>
    <w:semiHidden/>
    <w:rsid w:val="001E4C31"/>
    <w:rPr>
      <w:rFonts w:ascii="Arial" w:hAnsi="Arial"/>
      <w:sz w:val="22"/>
      <w:szCs w:val="24"/>
    </w:rPr>
  </w:style>
  <w:style w:type="character" w:customStyle="1" w:styleId="breadcrumbs">
    <w:name w:val="breadcrumbs"/>
    <w:rsid w:val="007B2E26"/>
  </w:style>
  <w:style w:type="character" w:customStyle="1" w:styleId="FooterChar">
    <w:name w:val="Footer Char"/>
    <w:link w:val="Footer"/>
    <w:uiPriority w:val="99"/>
    <w:rsid w:val="00E9724F"/>
    <w:rPr>
      <w:rFonts w:ascii="Arial" w:hAnsi="Arial"/>
      <w:sz w:val="22"/>
      <w:szCs w:val="24"/>
    </w:rPr>
  </w:style>
  <w:style w:type="paragraph" w:styleId="ListParagraph">
    <w:name w:val="List Paragraph"/>
    <w:basedOn w:val="Normal"/>
    <w:uiPriority w:val="34"/>
    <w:qFormat/>
    <w:rsid w:val="00761007"/>
    <w:pPr>
      <w:ind w:left="720"/>
      <w:contextualSpacing/>
    </w:pPr>
    <w:rPr>
      <w:rFonts w:ascii="Times New Roman" w:hAnsi="Times New Roman"/>
      <w:sz w:val="24"/>
    </w:rPr>
  </w:style>
  <w:style w:type="paragraph" w:customStyle="1" w:styleId="Default">
    <w:name w:val="Default"/>
    <w:rsid w:val="00E4452C"/>
    <w:pPr>
      <w:autoSpaceDE w:val="0"/>
      <w:autoSpaceDN w:val="0"/>
      <w:adjustRightInd w:val="0"/>
    </w:pPr>
    <w:rPr>
      <w:rFonts w:ascii="Times" w:hAnsi="Times" w:cs="Times"/>
      <w:color w:val="000000"/>
      <w:sz w:val="24"/>
      <w:szCs w:val="24"/>
    </w:rPr>
  </w:style>
  <w:style w:type="character" w:styleId="PlaceholderText">
    <w:name w:val="Placeholder Text"/>
    <w:basedOn w:val="DefaultParagraphFont"/>
    <w:uiPriority w:val="99"/>
    <w:semiHidden/>
    <w:rsid w:val="00A433CB"/>
    <w:rPr>
      <w:color w:val="808080"/>
    </w:rPr>
  </w:style>
  <w:style w:type="paragraph" w:customStyle="1" w:styleId="DecimalAligned">
    <w:name w:val="Decimal Aligned"/>
    <w:basedOn w:val="Normal"/>
    <w:uiPriority w:val="40"/>
    <w:qFormat/>
    <w:rsid w:val="007D7677"/>
    <w:pPr>
      <w:tabs>
        <w:tab w:val="decimal" w:pos="360"/>
      </w:tabs>
      <w:spacing w:after="200" w:line="276" w:lineRule="auto"/>
    </w:pPr>
    <w:rPr>
      <w:rFonts w:asciiTheme="minorHAnsi" w:eastAsiaTheme="minorHAnsi" w:hAnsiTheme="minorHAnsi" w:cstheme="minorBidi"/>
      <w:szCs w:val="22"/>
      <w:lang w:eastAsia="ja-JP"/>
    </w:rPr>
  </w:style>
  <w:style w:type="character" w:customStyle="1" w:styleId="FootnoteTextChar">
    <w:name w:val="Footnote Text Char"/>
    <w:basedOn w:val="DefaultParagraphFont"/>
    <w:link w:val="FootnoteText"/>
    <w:uiPriority w:val="99"/>
    <w:rsid w:val="007D7677"/>
    <w:rPr>
      <w:rFonts w:ascii="Arial" w:hAnsi="Arial"/>
    </w:rPr>
  </w:style>
  <w:style w:type="character" w:styleId="SubtleEmphasis">
    <w:name w:val="Subtle Emphasis"/>
    <w:basedOn w:val="DefaultParagraphFont"/>
    <w:uiPriority w:val="19"/>
    <w:qFormat/>
    <w:rsid w:val="007D7677"/>
    <w:rPr>
      <w:i/>
      <w:iCs/>
      <w:color w:val="7F7F7F" w:themeColor="text1" w:themeTint="80"/>
    </w:rPr>
  </w:style>
  <w:style w:type="table" w:styleId="LightShading-Accent1">
    <w:name w:val="Light Shading Accent 1"/>
    <w:basedOn w:val="TableNormal"/>
    <w:uiPriority w:val="60"/>
    <w:rsid w:val="007D7677"/>
    <w:rPr>
      <w:rFonts w:asciiTheme="minorHAnsi" w:eastAsiaTheme="minorEastAsia" w:hAnsiTheme="minorHAnsi" w:cstheme="minorBidi"/>
      <w:color w:val="365F91" w:themeColor="accent1" w:themeShade="BF"/>
      <w:sz w:val="22"/>
      <w:szCs w:val="22"/>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6">
    <w:name w:val="Table Grid 6"/>
    <w:basedOn w:val="TableNormal"/>
    <w:rsid w:val="007D767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ghtList">
    <w:name w:val="Light List"/>
    <w:basedOn w:val="TableNormal"/>
    <w:uiPriority w:val="61"/>
    <w:rsid w:val="007D767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6A2FA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6A2FA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6A2FA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EndnoteTextChar">
    <w:name w:val="Endnote Text Char"/>
    <w:basedOn w:val="DefaultParagraphFont"/>
    <w:link w:val="EndnoteText"/>
    <w:semiHidden/>
    <w:rsid w:val="000118A4"/>
    <w:rPr>
      <w:rFonts w:ascii="Arial" w:hAnsi="Arial"/>
    </w:rPr>
  </w:style>
</w:styles>
</file>

<file path=word/webSettings.xml><?xml version="1.0" encoding="utf-8"?>
<w:webSettings xmlns:r="http://schemas.openxmlformats.org/officeDocument/2006/relationships" xmlns:w="http://schemas.openxmlformats.org/wordprocessingml/2006/main">
  <w:divs>
    <w:div w:id="65609671">
      <w:bodyDiv w:val="1"/>
      <w:marLeft w:val="0"/>
      <w:marRight w:val="0"/>
      <w:marTop w:val="0"/>
      <w:marBottom w:val="0"/>
      <w:divBdr>
        <w:top w:val="none" w:sz="0" w:space="0" w:color="auto"/>
        <w:left w:val="none" w:sz="0" w:space="0" w:color="auto"/>
        <w:bottom w:val="none" w:sz="0" w:space="0" w:color="auto"/>
        <w:right w:val="none" w:sz="0" w:space="0" w:color="auto"/>
      </w:divBdr>
    </w:div>
    <w:div w:id="208500405">
      <w:bodyDiv w:val="1"/>
      <w:marLeft w:val="0"/>
      <w:marRight w:val="0"/>
      <w:marTop w:val="0"/>
      <w:marBottom w:val="0"/>
      <w:divBdr>
        <w:top w:val="none" w:sz="0" w:space="0" w:color="auto"/>
        <w:left w:val="none" w:sz="0" w:space="0" w:color="auto"/>
        <w:bottom w:val="none" w:sz="0" w:space="0" w:color="auto"/>
        <w:right w:val="none" w:sz="0" w:space="0" w:color="auto"/>
      </w:divBdr>
    </w:div>
    <w:div w:id="298850117">
      <w:bodyDiv w:val="1"/>
      <w:marLeft w:val="0"/>
      <w:marRight w:val="0"/>
      <w:marTop w:val="0"/>
      <w:marBottom w:val="0"/>
      <w:divBdr>
        <w:top w:val="none" w:sz="0" w:space="0" w:color="auto"/>
        <w:left w:val="none" w:sz="0" w:space="0" w:color="auto"/>
        <w:bottom w:val="none" w:sz="0" w:space="0" w:color="auto"/>
        <w:right w:val="none" w:sz="0" w:space="0" w:color="auto"/>
      </w:divBdr>
    </w:div>
    <w:div w:id="305088419">
      <w:bodyDiv w:val="1"/>
      <w:marLeft w:val="0"/>
      <w:marRight w:val="0"/>
      <w:marTop w:val="0"/>
      <w:marBottom w:val="0"/>
      <w:divBdr>
        <w:top w:val="none" w:sz="0" w:space="0" w:color="auto"/>
        <w:left w:val="none" w:sz="0" w:space="0" w:color="auto"/>
        <w:bottom w:val="none" w:sz="0" w:space="0" w:color="auto"/>
        <w:right w:val="none" w:sz="0" w:space="0" w:color="auto"/>
      </w:divBdr>
    </w:div>
    <w:div w:id="352195217">
      <w:bodyDiv w:val="1"/>
      <w:marLeft w:val="0"/>
      <w:marRight w:val="0"/>
      <w:marTop w:val="0"/>
      <w:marBottom w:val="0"/>
      <w:divBdr>
        <w:top w:val="none" w:sz="0" w:space="0" w:color="auto"/>
        <w:left w:val="none" w:sz="0" w:space="0" w:color="auto"/>
        <w:bottom w:val="none" w:sz="0" w:space="0" w:color="auto"/>
        <w:right w:val="none" w:sz="0" w:space="0" w:color="auto"/>
      </w:divBdr>
    </w:div>
    <w:div w:id="461312187">
      <w:bodyDiv w:val="1"/>
      <w:marLeft w:val="0"/>
      <w:marRight w:val="0"/>
      <w:marTop w:val="0"/>
      <w:marBottom w:val="0"/>
      <w:divBdr>
        <w:top w:val="none" w:sz="0" w:space="0" w:color="auto"/>
        <w:left w:val="none" w:sz="0" w:space="0" w:color="auto"/>
        <w:bottom w:val="none" w:sz="0" w:space="0" w:color="auto"/>
        <w:right w:val="none" w:sz="0" w:space="0" w:color="auto"/>
      </w:divBdr>
    </w:div>
    <w:div w:id="500320824">
      <w:bodyDiv w:val="1"/>
      <w:marLeft w:val="0"/>
      <w:marRight w:val="0"/>
      <w:marTop w:val="0"/>
      <w:marBottom w:val="0"/>
      <w:divBdr>
        <w:top w:val="none" w:sz="0" w:space="0" w:color="auto"/>
        <w:left w:val="none" w:sz="0" w:space="0" w:color="auto"/>
        <w:bottom w:val="none" w:sz="0" w:space="0" w:color="auto"/>
        <w:right w:val="none" w:sz="0" w:space="0" w:color="auto"/>
      </w:divBdr>
    </w:div>
    <w:div w:id="587815635">
      <w:bodyDiv w:val="1"/>
      <w:marLeft w:val="0"/>
      <w:marRight w:val="0"/>
      <w:marTop w:val="0"/>
      <w:marBottom w:val="0"/>
      <w:divBdr>
        <w:top w:val="none" w:sz="0" w:space="0" w:color="auto"/>
        <w:left w:val="none" w:sz="0" w:space="0" w:color="auto"/>
        <w:bottom w:val="none" w:sz="0" w:space="0" w:color="auto"/>
        <w:right w:val="none" w:sz="0" w:space="0" w:color="auto"/>
      </w:divBdr>
    </w:div>
    <w:div w:id="691034635">
      <w:bodyDiv w:val="1"/>
      <w:marLeft w:val="0"/>
      <w:marRight w:val="0"/>
      <w:marTop w:val="0"/>
      <w:marBottom w:val="0"/>
      <w:divBdr>
        <w:top w:val="none" w:sz="0" w:space="0" w:color="auto"/>
        <w:left w:val="none" w:sz="0" w:space="0" w:color="auto"/>
        <w:bottom w:val="none" w:sz="0" w:space="0" w:color="auto"/>
        <w:right w:val="none" w:sz="0" w:space="0" w:color="auto"/>
      </w:divBdr>
    </w:div>
    <w:div w:id="741760005">
      <w:bodyDiv w:val="1"/>
      <w:marLeft w:val="0"/>
      <w:marRight w:val="0"/>
      <w:marTop w:val="0"/>
      <w:marBottom w:val="0"/>
      <w:divBdr>
        <w:top w:val="none" w:sz="0" w:space="0" w:color="auto"/>
        <w:left w:val="none" w:sz="0" w:space="0" w:color="auto"/>
        <w:bottom w:val="none" w:sz="0" w:space="0" w:color="auto"/>
        <w:right w:val="none" w:sz="0" w:space="0" w:color="auto"/>
      </w:divBdr>
    </w:div>
    <w:div w:id="760952783">
      <w:bodyDiv w:val="1"/>
      <w:marLeft w:val="0"/>
      <w:marRight w:val="0"/>
      <w:marTop w:val="0"/>
      <w:marBottom w:val="0"/>
      <w:divBdr>
        <w:top w:val="none" w:sz="0" w:space="0" w:color="auto"/>
        <w:left w:val="none" w:sz="0" w:space="0" w:color="auto"/>
        <w:bottom w:val="none" w:sz="0" w:space="0" w:color="auto"/>
        <w:right w:val="none" w:sz="0" w:space="0" w:color="auto"/>
      </w:divBdr>
    </w:div>
    <w:div w:id="765462337">
      <w:bodyDiv w:val="1"/>
      <w:marLeft w:val="0"/>
      <w:marRight w:val="0"/>
      <w:marTop w:val="0"/>
      <w:marBottom w:val="0"/>
      <w:divBdr>
        <w:top w:val="none" w:sz="0" w:space="0" w:color="auto"/>
        <w:left w:val="none" w:sz="0" w:space="0" w:color="auto"/>
        <w:bottom w:val="none" w:sz="0" w:space="0" w:color="auto"/>
        <w:right w:val="none" w:sz="0" w:space="0" w:color="auto"/>
      </w:divBdr>
    </w:div>
    <w:div w:id="791092033">
      <w:bodyDiv w:val="1"/>
      <w:marLeft w:val="0"/>
      <w:marRight w:val="0"/>
      <w:marTop w:val="0"/>
      <w:marBottom w:val="0"/>
      <w:divBdr>
        <w:top w:val="none" w:sz="0" w:space="0" w:color="auto"/>
        <w:left w:val="none" w:sz="0" w:space="0" w:color="auto"/>
        <w:bottom w:val="none" w:sz="0" w:space="0" w:color="auto"/>
        <w:right w:val="none" w:sz="0" w:space="0" w:color="auto"/>
      </w:divBdr>
    </w:div>
    <w:div w:id="1058044817">
      <w:bodyDiv w:val="1"/>
      <w:marLeft w:val="0"/>
      <w:marRight w:val="0"/>
      <w:marTop w:val="0"/>
      <w:marBottom w:val="0"/>
      <w:divBdr>
        <w:top w:val="none" w:sz="0" w:space="0" w:color="auto"/>
        <w:left w:val="none" w:sz="0" w:space="0" w:color="auto"/>
        <w:bottom w:val="none" w:sz="0" w:space="0" w:color="auto"/>
        <w:right w:val="none" w:sz="0" w:space="0" w:color="auto"/>
      </w:divBdr>
    </w:div>
    <w:div w:id="1120534869">
      <w:bodyDiv w:val="1"/>
      <w:marLeft w:val="0"/>
      <w:marRight w:val="0"/>
      <w:marTop w:val="0"/>
      <w:marBottom w:val="0"/>
      <w:divBdr>
        <w:top w:val="none" w:sz="0" w:space="0" w:color="auto"/>
        <w:left w:val="none" w:sz="0" w:space="0" w:color="auto"/>
        <w:bottom w:val="none" w:sz="0" w:space="0" w:color="auto"/>
        <w:right w:val="none" w:sz="0" w:space="0" w:color="auto"/>
      </w:divBdr>
    </w:div>
    <w:div w:id="1212113632">
      <w:bodyDiv w:val="1"/>
      <w:marLeft w:val="0"/>
      <w:marRight w:val="0"/>
      <w:marTop w:val="0"/>
      <w:marBottom w:val="0"/>
      <w:divBdr>
        <w:top w:val="none" w:sz="0" w:space="0" w:color="auto"/>
        <w:left w:val="none" w:sz="0" w:space="0" w:color="auto"/>
        <w:bottom w:val="none" w:sz="0" w:space="0" w:color="auto"/>
        <w:right w:val="none" w:sz="0" w:space="0" w:color="auto"/>
      </w:divBdr>
      <w:divsChild>
        <w:div w:id="1209997726">
          <w:marLeft w:val="0"/>
          <w:marRight w:val="0"/>
          <w:marTop w:val="0"/>
          <w:marBottom w:val="0"/>
          <w:divBdr>
            <w:top w:val="none" w:sz="0" w:space="0" w:color="auto"/>
            <w:left w:val="none" w:sz="0" w:space="0" w:color="auto"/>
            <w:bottom w:val="none" w:sz="0" w:space="0" w:color="auto"/>
            <w:right w:val="none" w:sz="0" w:space="0" w:color="auto"/>
          </w:divBdr>
          <w:divsChild>
            <w:div w:id="621150603">
              <w:marLeft w:val="0"/>
              <w:marRight w:val="0"/>
              <w:marTop w:val="0"/>
              <w:marBottom w:val="0"/>
              <w:divBdr>
                <w:top w:val="none" w:sz="0" w:space="0" w:color="auto"/>
                <w:left w:val="none" w:sz="0" w:space="0" w:color="auto"/>
                <w:bottom w:val="none" w:sz="0" w:space="0" w:color="auto"/>
                <w:right w:val="none" w:sz="0" w:space="0" w:color="auto"/>
              </w:divBdr>
              <w:divsChild>
                <w:div w:id="1158037326">
                  <w:marLeft w:val="2928"/>
                  <w:marRight w:val="0"/>
                  <w:marTop w:val="720"/>
                  <w:marBottom w:val="0"/>
                  <w:divBdr>
                    <w:top w:val="none" w:sz="0" w:space="0" w:color="auto"/>
                    <w:left w:val="none" w:sz="0" w:space="0" w:color="auto"/>
                    <w:bottom w:val="none" w:sz="0" w:space="0" w:color="auto"/>
                    <w:right w:val="none" w:sz="0" w:space="0" w:color="auto"/>
                  </w:divBdr>
                  <w:divsChild>
                    <w:div w:id="417793153">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246763622">
      <w:bodyDiv w:val="1"/>
      <w:marLeft w:val="0"/>
      <w:marRight w:val="0"/>
      <w:marTop w:val="0"/>
      <w:marBottom w:val="0"/>
      <w:divBdr>
        <w:top w:val="none" w:sz="0" w:space="0" w:color="auto"/>
        <w:left w:val="none" w:sz="0" w:space="0" w:color="auto"/>
        <w:bottom w:val="none" w:sz="0" w:space="0" w:color="auto"/>
        <w:right w:val="none" w:sz="0" w:space="0" w:color="auto"/>
      </w:divBdr>
    </w:div>
    <w:div w:id="1307852526">
      <w:bodyDiv w:val="1"/>
      <w:marLeft w:val="0"/>
      <w:marRight w:val="0"/>
      <w:marTop w:val="0"/>
      <w:marBottom w:val="0"/>
      <w:divBdr>
        <w:top w:val="none" w:sz="0" w:space="0" w:color="auto"/>
        <w:left w:val="none" w:sz="0" w:space="0" w:color="auto"/>
        <w:bottom w:val="none" w:sz="0" w:space="0" w:color="auto"/>
        <w:right w:val="none" w:sz="0" w:space="0" w:color="auto"/>
      </w:divBdr>
    </w:div>
    <w:div w:id="1378430032">
      <w:bodyDiv w:val="1"/>
      <w:marLeft w:val="0"/>
      <w:marRight w:val="0"/>
      <w:marTop w:val="0"/>
      <w:marBottom w:val="0"/>
      <w:divBdr>
        <w:top w:val="none" w:sz="0" w:space="0" w:color="auto"/>
        <w:left w:val="none" w:sz="0" w:space="0" w:color="auto"/>
        <w:bottom w:val="none" w:sz="0" w:space="0" w:color="auto"/>
        <w:right w:val="none" w:sz="0" w:space="0" w:color="auto"/>
      </w:divBdr>
    </w:div>
    <w:div w:id="1417433602">
      <w:bodyDiv w:val="1"/>
      <w:marLeft w:val="0"/>
      <w:marRight w:val="0"/>
      <w:marTop w:val="0"/>
      <w:marBottom w:val="0"/>
      <w:divBdr>
        <w:top w:val="none" w:sz="0" w:space="0" w:color="auto"/>
        <w:left w:val="none" w:sz="0" w:space="0" w:color="auto"/>
        <w:bottom w:val="none" w:sz="0" w:space="0" w:color="auto"/>
        <w:right w:val="none" w:sz="0" w:space="0" w:color="auto"/>
      </w:divBdr>
    </w:div>
    <w:div w:id="1484390487">
      <w:bodyDiv w:val="1"/>
      <w:marLeft w:val="0"/>
      <w:marRight w:val="0"/>
      <w:marTop w:val="0"/>
      <w:marBottom w:val="0"/>
      <w:divBdr>
        <w:top w:val="none" w:sz="0" w:space="0" w:color="auto"/>
        <w:left w:val="none" w:sz="0" w:space="0" w:color="auto"/>
        <w:bottom w:val="none" w:sz="0" w:space="0" w:color="auto"/>
        <w:right w:val="none" w:sz="0" w:space="0" w:color="auto"/>
      </w:divBdr>
    </w:div>
    <w:div w:id="1491827830">
      <w:bodyDiv w:val="1"/>
      <w:marLeft w:val="0"/>
      <w:marRight w:val="0"/>
      <w:marTop w:val="0"/>
      <w:marBottom w:val="0"/>
      <w:divBdr>
        <w:top w:val="none" w:sz="0" w:space="0" w:color="auto"/>
        <w:left w:val="none" w:sz="0" w:space="0" w:color="auto"/>
        <w:bottom w:val="none" w:sz="0" w:space="0" w:color="auto"/>
        <w:right w:val="none" w:sz="0" w:space="0" w:color="auto"/>
      </w:divBdr>
    </w:div>
    <w:div w:id="1532764111">
      <w:bodyDiv w:val="1"/>
      <w:marLeft w:val="0"/>
      <w:marRight w:val="0"/>
      <w:marTop w:val="0"/>
      <w:marBottom w:val="0"/>
      <w:divBdr>
        <w:top w:val="none" w:sz="0" w:space="0" w:color="auto"/>
        <w:left w:val="none" w:sz="0" w:space="0" w:color="auto"/>
        <w:bottom w:val="none" w:sz="0" w:space="0" w:color="auto"/>
        <w:right w:val="none" w:sz="0" w:space="0" w:color="auto"/>
      </w:divBdr>
    </w:div>
    <w:div w:id="1533221962">
      <w:bodyDiv w:val="1"/>
      <w:marLeft w:val="0"/>
      <w:marRight w:val="0"/>
      <w:marTop w:val="0"/>
      <w:marBottom w:val="0"/>
      <w:divBdr>
        <w:top w:val="none" w:sz="0" w:space="0" w:color="auto"/>
        <w:left w:val="none" w:sz="0" w:space="0" w:color="auto"/>
        <w:bottom w:val="none" w:sz="0" w:space="0" w:color="auto"/>
        <w:right w:val="none" w:sz="0" w:space="0" w:color="auto"/>
      </w:divBdr>
    </w:div>
    <w:div w:id="1563175222">
      <w:bodyDiv w:val="1"/>
      <w:marLeft w:val="0"/>
      <w:marRight w:val="0"/>
      <w:marTop w:val="0"/>
      <w:marBottom w:val="0"/>
      <w:divBdr>
        <w:top w:val="none" w:sz="0" w:space="0" w:color="auto"/>
        <w:left w:val="none" w:sz="0" w:space="0" w:color="auto"/>
        <w:bottom w:val="none" w:sz="0" w:space="0" w:color="auto"/>
        <w:right w:val="none" w:sz="0" w:space="0" w:color="auto"/>
      </w:divBdr>
    </w:div>
    <w:div w:id="1611625156">
      <w:bodyDiv w:val="1"/>
      <w:marLeft w:val="0"/>
      <w:marRight w:val="0"/>
      <w:marTop w:val="0"/>
      <w:marBottom w:val="0"/>
      <w:divBdr>
        <w:top w:val="none" w:sz="0" w:space="0" w:color="auto"/>
        <w:left w:val="none" w:sz="0" w:space="0" w:color="auto"/>
        <w:bottom w:val="none" w:sz="0" w:space="0" w:color="auto"/>
        <w:right w:val="none" w:sz="0" w:space="0" w:color="auto"/>
      </w:divBdr>
    </w:div>
    <w:div w:id="1723870962">
      <w:bodyDiv w:val="1"/>
      <w:marLeft w:val="0"/>
      <w:marRight w:val="0"/>
      <w:marTop w:val="0"/>
      <w:marBottom w:val="0"/>
      <w:divBdr>
        <w:top w:val="none" w:sz="0" w:space="0" w:color="auto"/>
        <w:left w:val="none" w:sz="0" w:space="0" w:color="auto"/>
        <w:bottom w:val="none" w:sz="0" w:space="0" w:color="auto"/>
        <w:right w:val="none" w:sz="0" w:space="0" w:color="auto"/>
      </w:divBdr>
    </w:div>
    <w:div w:id="1773012985">
      <w:bodyDiv w:val="1"/>
      <w:marLeft w:val="0"/>
      <w:marRight w:val="0"/>
      <w:marTop w:val="0"/>
      <w:marBottom w:val="0"/>
      <w:divBdr>
        <w:top w:val="none" w:sz="0" w:space="0" w:color="auto"/>
        <w:left w:val="none" w:sz="0" w:space="0" w:color="auto"/>
        <w:bottom w:val="none" w:sz="0" w:space="0" w:color="auto"/>
        <w:right w:val="none" w:sz="0" w:space="0" w:color="auto"/>
      </w:divBdr>
    </w:div>
    <w:div w:id="1839346674">
      <w:bodyDiv w:val="1"/>
      <w:marLeft w:val="0"/>
      <w:marRight w:val="0"/>
      <w:marTop w:val="0"/>
      <w:marBottom w:val="0"/>
      <w:divBdr>
        <w:top w:val="none" w:sz="0" w:space="0" w:color="auto"/>
        <w:left w:val="none" w:sz="0" w:space="0" w:color="auto"/>
        <w:bottom w:val="none" w:sz="0" w:space="0" w:color="auto"/>
        <w:right w:val="none" w:sz="0" w:space="0" w:color="auto"/>
      </w:divBdr>
    </w:div>
    <w:div w:id="1857188326">
      <w:bodyDiv w:val="1"/>
      <w:marLeft w:val="0"/>
      <w:marRight w:val="0"/>
      <w:marTop w:val="0"/>
      <w:marBottom w:val="0"/>
      <w:divBdr>
        <w:top w:val="none" w:sz="0" w:space="0" w:color="auto"/>
        <w:left w:val="none" w:sz="0" w:space="0" w:color="auto"/>
        <w:bottom w:val="none" w:sz="0" w:space="0" w:color="auto"/>
        <w:right w:val="none" w:sz="0" w:space="0" w:color="auto"/>
      </w:divBdr>
    </w:div>
    <w:div w:id="1904832912">
      <w:bodyDiv w:val="1"/>
      <w:marLeft w:val="0"/>
      <w:marRight w:val="0"/>
      <w:marTop w:val="0"/>
      <w:marBottom w:val="0"/>
      <w:divBdr>
        <w:top w:val="none" w:sz="0" w:space="0" w:color="auto"/>
        <w:left w:val="none" w:sz="0" w:space="0" w:color="auto"/>
        <w:bottom w:val="none" w:sz="0" w:space="0" w:color="auto"/>
        <w:right w:val="none" w:sz="0" w:space="0" w:color="auto"/>
      </w:divBdr>
    </w:div>
    <w:div w:id="1944343191">
      <w:bodyDiv w:val="1"/>
      <w:marLeft w:val="0"/>
      <w:marRight w:val="0"/>
      <w:marTop w:val="0"/>
      <w:marBottom w:val="0"/>
      <w:divBdr>
        <w:top w:val="none" w:sz="0" w:space="0" w:color="auto"/>
        <w:left w:val="none" w:sz="0" w:space="0" w:color="auto"/>
        <w:bottom w:val="none" w:sz="0" w:space="0" w:color="auto"/>
        <w:right w:val="none" w:sz="0" w:space="0" w:color="auto"/>
      </w:divBdr>
    </w:div>
    <w:div w:id="2017228856">
      <w:bodyDiv w:val="1"/>
      <w:marLeft w:val="0"/>
      <w:marRight w:val="0"/>
      <w:marTop w:val="0"/>
      <w:marBottom w:val="0"/>
      <w:divBdr>
        <w:top w:val="none" w:sz="0" w:space="0" w:color="auto"/>
        <w:left w:val="none" w:sz="0" w:space="0" w:color="auto"/>
        <w:bottom w:val="none" w:sz="0" w:space="0" w:color="auto"/>
        <w:right w:val="none" w:sz="0" w:space="0" w:color="auto"/>
      </w:divBdr>
    </w:div>
    <w:div w:id="2118602275">
      <w:bodyDiv w:val="1"/>
      <w:marLeft w:val="0"/>
      <w:marRight w:val="0"/>
      <w:marTop w:val="0"/>
      <w:marBottom w:val="0"/>
      <w:divBdr>
        <w:top w:val="none" w:sz="0" w:space="0" w:color="auto"/>
        <w:left w:val="none" w:sz="0" w:space="0" w:color="auto"/>
        <w:bottom w:val="none" w:sz="0" w:space="0" w:color="auto"/>
        <w:right w:val="none" w:sz="0" w:space="0" w:color="auto"/>
      </w:divBdr>
    </w:div>
    <w:div w:id="213497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http://www.energy.ca.gov/2012publications/CEC-400-2012-004/CEC-400-2012-004-CMF-REV2.pdf" TargetMode="External"/><Relationship Id="rId21" Type="http://schemas.openxmlformats.org/officeDocument/2006/relationships/hyperlink" Target="http://www.Designlights.org" TargetMode="External"/><Relationship Id="rId22" Type="http://schemas.openxmlformats.org/officeDocument/2006/relationships/header" Target="header4.xml"/><Relationship Id="rId23" Type="http://schemas.openxmlformats.org/officeDocument/2006/relationships/header" Target="header5.xml"/><Relationship Id="rId24" Type="http://schemas.openxmlformats.org/officeDocument/2006/relationships/footer" Target="footer4.xml"/><Relationship Id="rId25" Type="http://schemas.openxmlformats.org/officeDocument/2006/relationships/footer" Target="footer5.xml"/><Relationship Id="rId26" Type="http://schemas.openxmlformats.org/officeDocument/2006/relationships/header" Target="header6.xml"/><Relationship Id="rId27" Type="http://schemas.openxmlformats.org/officeDocument/2006/relationships/footer" Target="footer6.xml"/><Relationship Id="rId28" Type="http://schemas.openxmlformats.org/officeDocument/2006/relationships/fontTable" Target="fontTable.xml"/><Relationship Id="rId29" Type="http://schemas.openxmlformats.org/officeDocument/2006/relationships/theme" Target="theme/theme1.xml"/><Relationship Id="rId30" Type="http://schemas.microsoft.com/office/2007/relationships/stylesWithEffects" Target="stylesWithEffects.xml"/><Relationship Id="rId10" Type="http://schemas.openxmlformats.org/officeDocument/2006/relationships/endnotes" Target="endnotes.xm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hyperlink" Target="http://designlights.org/Content/QPL/ProductSubmit/CategorySpecifications" TargetMode="External"/><Relationship Id="rId18" Type="http://schemas.openxmlformats.org/officeDocument/2006/relationships/hyperlink" Target="http://designlights.org/resources/file/n-e-e-p-d-l-c-q-p-l-24-xlsx" TargetMode="External"/><Relationship Id="rId19" Type="http://schemas.openxmlformats.org/officeDocument/2006/relationships/hyperlink" Target="http://www.designlights.org/"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endnotes.xml.rels><?xml version="1.0" encoding="UTF-8" standalone="yes"?>
<Relationships xmlns="http://schemas.openxmlformats.org/package/2006/relationships"><Relationship Id="rId3" Type="http://schemas.openxmlformats.org/officeDocument/2006/relationships/hyperlink" Target="http://www.energy.ca.gov/maps/maps-pdf/UTILITY_SERVICE_AREAS_DETAIL.PDF" TargetMode="External"/><Relationship Id="rId4" Type="http://schemas.openxmlformats.org/officeDocument/2006/relationships/hyperlink" Target="http://apps1.eere.energy.gov/buildings/publications/pdfs/ssl/ssl_energy-savings-report_jan-2012.pdf" TargetMode="External"/><Relationship Id="rId5" Type="http://schemas.openxmlformats.org/officeDocument/2006/relationships/hyperlink" Target="http://apps1.eere.energy.gov/buildings/publications/pdfs/ssl/led-adoption-report_2013.pdf" TargetMode="External"/><Relationship Id="rId1" Type="http://schemas.openxmlformats.org/officeDocument/2006/relationships/hyperlink" Target="http://apps1.eere.energy.gov/buildings/publications/pdfs/ssl/led-adoption-report_2013.pdf" TargetMode="External"/><Relationship Id="rId2" Type="http://schemas.openxmlformats.org/officeDocument/2006/relationships/hyperlink" Target="http://www.energy.ca.gov/appliances/2008rulemaking/documents/2008-02-01_documents/CASE_studies/Analysis_of_Standards_Options_for_Linear_Fluorescent_Fixtur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ultf\Desktop\WorkPaperReview2ndQtr2007\SCE%20Work%20Paper%20Template%20-%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0EA4F4CB40DD419C6CAF9467FB7C04" ma:contentTypeVersion="2" ma:contentTypeDescription="Create a new document." ma:contentTypeScope="" ma:versionID="828d551e8869ea3dc498503510246c4f">
  <xsd:schema xmlns:xsd="http://www.w3.org/2001/XMLSchema" xmlns:p="http://schemas.microsoft.com/office/2006/metadata/properties" targetNamespace="http://schemas.microsoft.com/office/2006/metadata/properties" ma:root="true" ma:fieldsID="bfb85531492299a443187b2d09fe2a1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80A6B-5D68-411B-8FF7-88DFD64A4E4A}">
  <ds:schemaRefs>
    <ds:schemaRef ds:uri="http://schemas.microsoft.com/sharepoint/v3/contenttype/forms"/>
  </ds:schemaRefs>
</ds:datastoreItem>
</file>

<file path=customXml/itemProps2.xml><?xml version="1.0" encoding="utf-8"?>
<ds:datastoreItem xmlns:ds="http://schemas.openxmlformats.org/officeDocument/2006/customXml" ds:itemID="{44F72AB3-3614-44E4-AD3D-4602D8619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0AC4E56-104E-4524-9907-9F647E8A41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E5F48A-B06D-8344-9A17-4B58AEDCA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Settings\schultf\Desktop\WorkPaperReview2ndQtr2007\SCE Work Paper Template - Final.dot</Template>
  <TotalTime>0</TotalTime>
  <Pages>10</Pages>
  <Words>1842</Words>
  <Characters>10505</Characters>
  <Application>Microsoft Macintosh Word</Application>
  <DocSecurity>0</DocSecurity>
  <Lines>87</Lines>
  <Paragraphs>21</Paragraphs>
  <ScaleCrop>false</ScaleCrop>
  <HeadingPairs>
    <vt:vector size="2" baseType="variant">
      <vt:variant>
        <vt:lpstr>Title</vt:lpstr>
      </vt:variant>
      <vt:variant>
        <vt:i4>1</vt:i4>
      </vt:variant>
    </vt:vector>
  </HeadingPairs>
  <TitlesOfParts>
    <vt:vector size="1" baseType="lpstr">
      <vt:lpstr>Work Paper Template 2011 November</vt:lpstr>
    </vt:vector>
  </TitlesOfParts>
  <Company>PG&amp;E</Company>
  <LinksUpToDate>false</LinksUpToDate>
  <CharactersWithSpaces>12900</CharactersWithSpaces>
  <SharedDoc>false</SharedDoc>
  <HLinks>
    <vt:vector size="186" baseType="variant">
      <vt:variant>
        <vt:i4>1572920</vt:i4>
      </vt:variant>
      <vt:variant>
        <vt:i4>188</vt:i4>
      </vt:variant>
      <vt:variant>
        <vt:i4>0</vt:i4>
      </vt:variant>
      <vt:variant>
        <vt:i4>5</vt:i4>
      </vt:variant>
      <vt:variant>
        <vt:lpwstr/>
      </vt:variant>
      <vt:variant>
        <vt:lpwstr>_Toc174189507</vt:lpwstr>
      </vt:variant>
      <vt:variant>
        <vt:i4>1572920</vt:i4>
      </vt:variant>
      <vt:variant>
        <vt:i4>182</vt:i4>
      </vt:variant>
      <vt:variant>
        <vt:i4>0</vt:i4>
      </vt:variant>
      <vt:variant>
        <vt:i4>5</vt:i4>
      </vt:variant>
      <vt:variant>
        <vt:lpwstr/>
      </vt:variant>
      <vt:variant>
        <vt:lpwstr>_Toc174189506</vt:lpwstr>
      </vt:variant>
      <vt:variant>
        <vt:i4>1441840</vt:i4>
      </vt:variant>
      <vt:variant>
        <vt:i4>173</vt:i4>
      </vt:variant>
      <vt:variant>
        <vt:i4>0</vt:i4>
      </vt:variant>
      <vt:variant>
        <vt:i4>5</vt:i4>
      </vt:variant>
      <vt:variant>
        <vt:lpwstr/>
      </vt:variant>
      <vt:variant>
        <vt:lpwstr>_Toc184119412</vt:lpwstr>
      </vt:variant>
      <vt:variant>
        <vt:i4>1900597</vt:i4>
      </vt:variant>
      <vt:variant>
        <vt:i4>164</vt:i4>
      </vt:variant>
      <vt:variant>
        <vt:i4>0</vt:i4>
      </vt:variant>
      <vt:variant>
        <vt:i4>5</vt:i4>
      </vt:variant>
      <vt:variant>
        <vt:lpwstr/>
      </vt:variant>
      <vt:variant>
        <vt:lpwstr>_Toc304800222</vt:lpwstr>
      </vt:variant>
      <vt:variant>
        <vt:i4>1900597</vt:i4>
      </vt:variant>
      <vt:variant>
        <vt:i4>158</vt:i4>
      </vt:variant>
      <vt:variant>
        <vt:i4>0</vt:i4>
      </vt:variant>
      <vt:variant>
        <vt:i4>5</vt:i4>
      </vt:variant>
      <vt:variant>
        <vt:lpwstr/>
      </vt:variant>
      <vt:variant>
        <vt:lpwstr>_Toc304800221</vt:lpwstr>
      </vt:variant>
      <vt:variant>
        <vt:i4>1900597</vt:i4>
      </vt:variant>
      <vt:variant>
        <vt:i4>152</vt:i4>
      </vt:variant>
      <vt:variant>
        <vt:i4>0</vt:i4>
      </vt:variant>
      <vt:variant>
        <vt:i4>5</vt:i4>
      </vt:variant>
      <vt:variant>
        <vt:lpwstr/>
      </vt:variant>
      <vt:variant>
        <vt:lpwstr>_Toc304800220</vt:lpwstr>
      </vt:variant>
      <vt:variant>
        <vt:i4>1966133</vt:i4>
      </vt:variant>
      <vt:variant>
        <vt:i4>146</vt:i4>
      </vt:variant>
      <vt:variant>
        <vt:i4>0</vt:i4>
      </vt:variant>
      <vt:variant>
        <vt:i4>5</vt:i4>
      </vt:variant>
      <vt:variant>
        <vt:lpwstr/>
      </vt:variant>
      <vt:variant>
        <vt:lpwstr>_Toc304800219</vt:lpwstr>
      </vt:variant>
      <vt:variant>
        <vt:i4>1966133</vt:i4>
      </vt:variant>
      <vt:variant>
        <vt:i4>140</vt:i4>
      </vt:variant>
      <vt:variant>
        <vt:i4>0</vt:i4>
      </vt:variant>
      <vt:variant>
        <vt:i4>5</vt:i4>
      </vt:variant>
      <vt:variant>
        <vt:lpwstr/>
      </vt:variant>
      <vt:variant>
        <vt:lpwstr>_Toc304800218</vt:lpwstr>
      </vt:variant>
      <vt:variant>
        <vt:i4>1966133</vt:i4>
      </vt:variant>
      <vt:variant>
        <vt:i4>134</vt:i4>
      </vt:variant>
      <vt:variant>
        <vt:i4>0</vt:i4>
      </vt:variant>
      <vt:variant>
        <vt:i4>5</vt:i4>
      </vt:variant>
      <vt:variant>
        <vt:lpwstr/>
      </vt:variant>
      <vt:variant>
        <vt:lpwstr>_Toc304800217</vt:lpwstr>
      </vt:variant>
      <vt:variant>
        <vt:i4>1966133</vt:i4>
      </vt:variant>
      <vt:variant>
        <vt:i4>128</vt:i4>
      </vt:variant>
      <vt:variant>
        <vt:i4>0</vt:i4>
      </vt:variant>
      <vt:variant>
        <vt:i4>5</vt:i4>
      </vt:variant>
      <vt:variant>
        <vt:lpwstr/>
      </vt:variant>
      <vt:variant>
        <vt:lpwstr>_Toc304800216</vt:lpwstr>
      </vt:variant>
      <vt:variant>
        <vt:i4>1966133</vt:i4>
      </vt:variant>
      <vt:variant>
        <vt:i4>122</vt:i4>
      </vt:variant>
      <vt:variant>
        <vt:i4>0</vt:i4>
      </vt:variant>
      <vt:variant>
        <vt:i4>5</vt:i4>
      </vt:variant>
      <vt:variant>
        <vt:lpwstr/>
      </vt:variant>
      <vt:variant>
        <vt:lpwstr>_Toc304800215</vt:lpwstr>
      </vt:variant>
      <vt:variant>
        <vt:i4>1966133</vt:i4>
      </vt:variant>
      <vt:variant>
        <vt:i4>116</vt:i4>
      </vt:variant>
      <vt:variant>
        <vt:i4>0</vt:i4>
      </vt:variant>
      <vt:variant>
        <vt:i4>5</vt:i4>
      </vt:variant>
      <vt:variant>
        <vt:lpwstr/>
      </vt:variant>
      <vt:variant>
        <vt:lpwstr>_Toc304800214</vt:lpwstr>
      </vt:variant>
      <vt:variant>
        <vt:i4>1966133</vt:i4>
      </vt:variant>
      <vt:variant>
        <vt:i4>110</vt:i4>
      </vt:variant>
      <vt:variant>
        <vt:i4>0</vt:i4>
      </vt:variant>
      <vt:variant>
        <vt:i4>5</vt:i4>
      </vt:variant>
      <vt:variant>
        <vt:lpwstr/>
      </vt:variant>
      <vt:variant>
        <vt:lpwstr>_Toc304800213</vt:lpwstr>
      </vt:variant>
      <vt:variant>
        <vt:i4>1966133</vt:i4>
      </vt:variant>
      <vt:variant>
        <vt:i4>104</vt:i4>
      </vt:variant>
      <vt:variant>
        <vt:i4>0</vt:i4>
      </vt:variant>
      <vt:variant>
        <vt:i4>5</vt:i4>
      </vt:variant>
      <vt:variant>
        <vt:lpwstr/>
      </vt:variant>
      <vt:variant>
        <vt:lpwstr>_Toc304800212</vt:lpwstr>
      </vt:variant>
      <vt:variant>
        <vt:i4>1966133</vt:i4>
      </vt:variant>
      <vt:variant>
        <vt:i4>98</vt:i4>
      </vt:variant>
      <vt:variant>
        <vt:i4>0</vt:i4>
      </vt:variant>
      <vt:variant>
        <vt:i4>5</vt:i4>
      </vt:variant>
      <vt:variant>
        <vt:lpwstr/>
      </vt:variant>
      <vt:variant>
        <vt:lpwstr>_Toc304800211</vt:lpwstr>
      </vt:variant>
      <vt:variant>
        <vt:i4>1966133</vt:i4>
      </vt:variant>
      <vt:variant>
        <vt:i4>92</vt:i4>
      </vt:variant>
      <vt:variant>
        <vt:i4>0</vt:i4>
      </vt:variant>
      <vt:variant>
        <vt:i4>5</vt:i4>
      </vt:variant>
      <vt:variant>
        <vt:lpwstr/>
      </vt:variant>
      <vt:variant>
        <vt:lpwstr>_Toc304800210</vt:lpwstr>
      </vt:variant>
      <vt:variant>
        <vt:i4>2031669</vt:i4>
      </vt:variant>
      <vt:variant>
        <vt:i4>86</vt:i4>
      </vt:variant>
      <vt:variant>
        <vt:i4>0</vt:i4>
      </vt:variant>
      <vt:variant>
        <vt:i4>5</vt:i4>
      </vt:variant>
      <vt:variant>
        <vt:lpwstr/>
      </vt:variant>
      <vt:variant>
        <vt:lpwstr>_Toc304800209</vt:lpwstr>
      </vt:variant>
      <vt:variant>
        <vt:i4>2031669</vt:i4>
      </vt:variant>
      <vt:variant>
        <vt:i4>80</vt:i4>
      </vt:variant>
      <vt:variant>
        <vt:i4>0</vt:i4>
      </vt:variant>
      <vt:variant>
        <vt:i4>5</vt:i4>
      </vt:variant>
      <vt:variant>
        <vt:lpwstr/>
      </vt:variant>
      <vt:variant>
        <vt:lpwstr>_Toc304800208</vt:lpwstr>
      </vt:variant>
      <vt:variant>
        <vt:i4>2031669</vt:i4>
      </vt:variant>
      <vt:variant>
        <vt:i4>74</vt:i4>
      </vt:variant>
      <vt:variant>
        <vt:i4>0</vt:i4>
      </vt:variant>
      <vt:variant>
        <vt:i4>5</vt:i4>
      </vt:variant>
      <vt:variant>
        <vt:lpwstr/>
      </vt:variant>
      <vt:variant>
        <vt:lpwstr>_Toc304800207</vt:lpwstr>
      </vt:variant>
      <vt:variant>
        <vt:i4>2031669</vt:i4>
      </vt:variant>
      <vt:variant>
        <vt:i4>68</vt:i4>
      </vt:variant>
      <vt:variant>
        <vt:i4>0</vt:i4>
      </vt:variant>
      <vt:variant>
        <vt:i4>5</vt:i4>
      </vt:variant>
      <vt:variant>
        <vt:lpwstr/>
      </vt:variant>
      <vt:variant>
        <vt:lpwstr>_Toc304800206</vt:lpwstr>
      </vt:variant>
      <vt:variant>
        <vt:i4>2031669</vt:i4>
      </vt:variant>
      <vt:variant>
        <vt:i4>62</vt:i4>
      </vt:variant>
      <vt:variant>
        <vt:i4>0</vt:i4>
      </vt:variant>
      <vt:variant>
        <vt:i4>5</vt:i4>
      </vt:variant>
      <vt:variant>
        <vt:lpwstr/>
      </vt:variant>
      <vt:variant>
        <vt:lpwstr>_Toc304800205</vt:lpwstr>
      </vt:variant>
      <vt:variant>
        <vt:i4>2031669</vt:i4>
      </vt:variant>
      <vt:variant>
        <vt:i4>56</vt:i4>
      </vt:variant>
      <vt:variant>
        <vt:i4>0</vt:i4>
      </vt:variant>
      <vt:variant>
        <vt:i4>5</vt:i4>
      </vt:variant>
      <vt:variant>
        <vt:lpwstr/>
      </vt:variant>
      <vt:variant>
        <vt:lpwstr>_Toc304800204</vt:lpwstr>
      </vt:variant>
      <vt:variant>
        <vt:i4>2031669</vt:i4>
      </vt:variant>
      <vt:variant>
        <vt:i4>50</vt:i4>
      </vt:variant>
      <vt:variant>
        <vt:i4>0</vt:i4>
      </vt:variant>
      <vt:variant>
        <vt:i4>5</vt:i4>
      </vt:variant>
      <vt:variant>
        <vt:lpwstr/>
      </vt:variant>
      <vt:variant>
        <vt:lpwstr>_Toc304800203</vt:lpwstr>
      </vt:variant>
      <vt:variant>
        <vt:i4>2031669</vt:i4>
      </vt:variant>
      <vt:variant>
        <vt:i4>44</vt:i4>
      </vt:variant>
      <vt:variant>
        <vt:i4>0</vt:i4>
      </vt:variant>
      <vt:variant>
        <vt:i4>5</vt:i4>
      </vt:variant>
      <vt:variant>
        <vt:lpwstr/>
      </vt:variant>
      <vt:variant>
        <vt:lpwstr>_Toc304800202</vt:lpwstr>
      </vt:variant>
      <vt:variant>
        <vt:i4>2031669</vt:i4>
      </vt:variant>
      <vt:variant>
        <vt:i4>38</vt:i4>
      </vt:variant>
      <vt:variant>
        <vt:i4>0</vt:i4>
      </vt:variant>
      <vt:variant>
        <vt:i4>5</vt:i4>
      </vt:variant>
      <vt:variant>
        <vt:lpwstr/>
      </vt:variant>
      <vt:variant>
        <vt:lpwstr>_Toc304800201</vt:lpwstr>
      </vt:variant>
      <vt:variant>
        <vt:i4>2031669</vt:i4>
      </vt:variant>
      <vt:variant>
        <vt:i4>32</vt:i4>
      </vt:variant>
      <vt:variant>
        <vt:i4>0</vt:i4>
      </vt:variant>
      <vt:variant>
        <vt:i4>5</vt:i4>
      </vt:variant>
      <vt:variant>
        <vt:lpwstr/>
      </vt:variant>
      <vt:variant>
        <vt:lpwstr>_Toc304800200</vt:lpwstr>
      </vt:variant>
      <vt:variant>
        <vt:i4>1441846</vt:i4>
      </vt:variant>
      <vt:variant>
        <vt:i4>26</vt:i4>
      </vt:variant>
      <vt:variant>
        <vt:i4>0</vt:i4>
      </vt:variant>
      <vt:variant>
        <vt:i4>5</vt:i4>
      </vt:variant>
      <vt:variant>
        <vt:lpwstr/>
      </vt:variant>
      <vt:variant>
        <vt:lpwstr>_Toc304800199</vt:lpwstr>
      </vt:variant>
      <vt:variant>
        <vt:i4>1441846</vt:i4>
      </vt:variant>
      <vt:variant>
        <vt:i4>20</vt:i4>
      </vt:variant>
      <vt:variant>
        <vt:i4>0</vt:i4>
      </vt:variant>
      <vt:variant>
        <vt:i4>5</vt:i4>
      </vt:variant>
      <vt:variant>
        <vt:lpwstr/>
      </vt:variant>
      <vt:variant>
        <vt:lpwstr>_Toc304800198</vt:lpwstr>
      </vt:variant>
      <vt:variant>
        <vt:i4>1441846</vt:i4>
      </vt:variant>
      <vt:variant>
        <vt:i4>14</vt:i4>
      </vt:variant>
      <vt:variant>
        <vt:i4>0</vt:i4>
      </vt:variant>
      <vt:variant>
        <vt:i4>5</vt:i4>
      </vt:variant>
      <vt:variant>
        <vt:lpwstr/>
      </vt:variant>
      <vt:variant>
        <vt:lpwstr>_Toc304800196</vt:lpwstr>
      </vt:variant>
      <vt:variant>
        <vt:i4>1441846</vt:i4>
      </vt:variant>
      <vt:variant>
        <vt:i4>8</vt:i4>
      </vt:variant>
      <vt:variant>
        <vt:i4>0</vt:i4>
      </vt:variant>
      <vt:variant>
        <vt:i4>5</vt:i4>
      </vt:variant>
      <vt:variant>
        <vt:lpwstr/>
      </vt:variant>
      <vt:variant>
        <vt:lpwstr>_Toc304800195</vt:lpwstr>
      </vt:variant>
      <vt:variant>
        <vt:i4>1441846</vt:i4>
      </vt:variant>
      <vt:variant>
        <vt:i4>2</vt:i4>
      </vt:variant>
      <vt:variant>
        <vt:i4>0</vt:i4>
      </vt:variant>
      <vt:variant>
        <vt:i4>5</vt:i4>
      </vt:variant>
      <vt:variant>
        <vt:lpwstr/>
      </vt:variant>
      <vt:variant>
        <vt:lpwstr>_Toc304800192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Paper Template 2011 November</dc:title>
  <dc:creator>Steven Blanc</dc:creator>
  <cp:lastModifiedBy>Alejandra Mejia</cp:lastModifiedBy>
  <cp:revision>2</cp:revision>
  <cp:lastPrinted>2014-06-13T21:17:00Z</cp:lastPrinted>
  <dcterms:created xsi:type="dcterms:W3CDTF">2014-06-25T21:15:00Z</dcterms:created>
  <dcterms:modified xsi:type="dcterms:W3CDTF">2014-06-25T21:15:00Z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0x010100E20EA4F4CB40DD419C6CAF9467FB7C04</vt:lpwstr>
  </property>
</Properties>
</file>