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B1C5" w14:textId="77777777" w:rsidR="00DD6B5E" w:rsidRPr="008E3621" w:rsidRDefault="003129E8" w:rsidP="00DD6B5E">
      <w:pPr>
        <w:jc w:val="right"/>
        <w:rPr>
          <w:rFonts w:cs="Arial"/>
          <w:b/>
          <w:sz w:val="48"/>
          <w:szCs w:val="48"/>
        </w:rPr>
      </w:pPr>
      <w:bookmarkStart w:id="0" w:name="_Toc153189646"/>
      <w:r w:rsidRPr="008E3621">
        <w:rPr>
          <w:rFonts w:cs="Arial"/>
          <w:b/>
          <w:sz w:val="48"/>
          <w:szCs w:val="48"/>
        </w:rPr>
        <w:t>Work Paper</w:t>
      </w:r>
      <w:bookmarkEnd w:id="0"/>
      <w:r w:rsidR="00E15A06" w:rsidRPr="008E3621">
        <w:rPr>
          <w:rFonts w:cs="Arial"/>
          <w:b/>
          <w:sz w:val="48"/>
          <w:szCs w:val="48"/>
        </w:rPr>
        <w:t xml:space="preserve"> Abstract</w:t>
      </w:r>
      <w:r w:rsidR="00560E6F" w:rsidRPr="008E3621">
        <w:rPr>
          <w:rFonts w:cs="Arial"/>
          <w:b/>
          <w:color w:val="FF0000"/>
          <w:sz w:val="48"/>
          <w:szCs w:val="48"/>
        </w:rPr>
        <w:t xml:space="preserve"> </w:t>
      </w:r>
    </w:p>
    <w:p w14:paraId="3B58B88B" w14:textId="638648A4" w:rsidR="00802C18" w:rsidRPr="00541F62" w:rsidRDefault="002B69C1" w:rsidP="002E0043">
      <w:pPr>
        <w:jc w:val="right"/>
        <w:rPr>
          <w:rFonts w:cs="Arial"/>
          <w:b/>
          <w:sz w:val="48"/>
          <w:szCs w:val="48"/>
        </w:rPr>
      </w:pPr>
      <w:bookmarkStart w:id="1" w:name="_Toc153189647"/>
      <w:r w:rsidRPr="00541F62">
        <w:rPr>
          <w:rFonts w:cs="Arial"/>
          <w:b/>
          <w:sz w:val="48"/>
          <w:szCs w:val="48"/>
        </w:rPr>
        <w:t xml:space="preserve">Fan Motor Assembly </w:t>
      </w:r>
      <w:r>
        <w:rPr>
          <w:rFonts w:cs="Arial"/>
          <w:b/>
          <w:sz w:val="48"/>
          <w:szCs w:val="48"/>
        </w:rPr>
        <w:t xml:space="preserve">for </w:t>
      </w:r>
      <w:r w:rsidR="00C102A1" w:rsidRPr="00541F62">
        <w:rPr>
          <w:rFonts w:cs="Arial"/>
          <w:b/>
          <w:sz w:val="48"/>
          <w:szCs w:val="48"/>
        </w:rPr>
        <w:t>Refrigerat</w:t>
      </w:r>
      <w:r>
        <w:rPr>
          <w:rFonts w:cs="Arial"/>
          <w:b/>
          <w:sz w:val="48"/>
          <w:szCs w:val="48"/>
        </w:rPr>
        <w:t>ed Case</w:t>
      </w:r>
      <w:r w:rsidR="00C102A1" w:rsidRPr="00541F62">
        <w:rPr>
          <w:rFonts w:cs="Arial"/>
          <w:b/>
          <w:sz w:val="48"/>
          <w:szCs w:val="48"/>
        </w:rPr>
        <w:t xml:space="preserve"> Evaporator</w:t>
      </w:r>
      <w:r>
        <w:rPr>
          <w:rFonts w:cs="Arial"/>
          <w:b/>
          <w:sz w:val="48"/>
          <w:szCs w:val="48"/>
        </w:rPr>
        <w:t>s</w:t>
      </w:r>
      <w:r w:rsidR="00C102A1" w:rsidRPr="00541F62">
        <w:rPr>
          <w:rFonts w:cs="Arial"/>
          <w:b/>
          <w:sz w:val="48"/>
          <w:szCs w:val="48"/>
        </w:rPr>
        <w:t xml:space="preserve"> </w:t>
      </w:r>
    </w:p>
    <w:p w14:paraId="55AC8E94" w14:textId="7AF526B1" w:rsidR="003129E8" w:rsidRPr="00541F62" w:rsidRDefault="003129E8" w:rsidP="002E0043">
      <w:pPr>
        <w:jc w:val="right"/>
        <w:rPr>
          <w:rFonts w:cs="Arial"/>
          <w:b/>
          <w:sz w:val="48"/>
          <w:szCs w:val="48"/>
        </w:rPr>
      </w:pPr>
      <w:r w:rsidRPr="00541F62">
        <w:rPr>
          <w:rFonts w:cs="Arial"/>
          <w:b/>
          <w:sz w:val="48"/>
          <w:szCs w:val="48"/>
        </w:rPr>
        <w:t>Revision #</w:t>
      </w:r>
      <w:bookmarkEnd w:id="1"/>
      <w:r w:rsidR="00D7047A" w:rsidRPr="00541F62">
        <w:rPr>
          <w:rFonts w:cs="Arial"/>
          <w:b/>
          <w:sz w:val="48"/>
          <w:szCs w:val="48"/>
        </w:rPr>
        <w:t xml:space="preserve"> </w:t>
      </w:r>
      <w:r w:rsidR="00C102A1" w:rsidRPr="00541F62">
        <w:rPr>
          <w:rFonts w:cs="Arial"/>
          <w:b/>
          <w:sz w:val="48"/>
          <w:szCs w:val="48"/>
        </w:rPr>
        <w:t>1.0</w:t>
      </w:r>
    </w:p>
    <w:p w14:paraId="57E694B0" w14:textId="77777777" w:rsidR="003129E8" w:rsidRPr="00541F62" w:rsidRDefault="003129E8" w:rsidP="003129E8">
      <w:pPr>
        <w:rPr>
          <w:rFonts w:cs="Arial"/>
        </w:rPr>
      </w:pPr>
    </w:p>
    <w:p w14:paraId="43E3045F" w14:textId="77777777" w:rsidR="00D7047A" w:rsidRPr="00541F62" w:rsidRDefault="00741DF0" w:rsidP="00D7047A">
      <w:pPr>
        <w:pBdr>
          <w:bottom w:val="single" w:sz="4" w:space="1" w:color="auto"/>
        </w:pBdr>
        <w:rPr>
          <w:rFonts w:cs="Arial"/>
          <w:b/>
          <w:sz w:val="36"/>
          <w:szCs w:val="36"/>
        </w:rPr>
      </w:pPr>
      <w:r w:rsidRPr="00541F62">
        <w:rPr>
          <w:rFonts w:cs="Arial"/>
          <w:b/>
          <w:sz w:val="36"/>
          <w:szCs w:val="36"/>
        </w:rPr>
        <w:t>California Technical Forum</w:t>
      </w:r>
    </w:p>
    <w:p w14:paraId="772B8195" w14:textId="07017D55" w:rsidR="00D7047A" w:rsidRPr="00541F62" w:rsidRDefault="00354568" w:rsidP="00D7047A">
      <w:pPr>
        <w:rPr>
          <w:rFonts w:cs="Arial"/>
          <w:b/>
          <w:sz w:val="32"/>
          <w:szCs w:val="32"/>
        </w:rPr>
      </w:pPr>
      <w:r w:rsidRPr="00541F62">
        <w:rPr>
          <w:rFonts w:cs="Arial"/>
          <w:b/>
          <w:sz w:val="32"/>
          <w:szCs w:val="32"/>
        </w:rPr>
        <w:t xml:space="preserve">WP Abstract </w:t>
      </w:r>
      <w:r w:rsidR="00741DF0" w:rsidRPr="00541F62">
        <w:rPr>
          <w:rFonts w:cs="Arial"/>
          <w:b/>
          <w:sz w:val="32"/>
          <w:szCs w:val="32"/>
        </w:rPr>
        <w:t>Prepared by:</w:t>
      </w:r>
      <w:r w:rsidR="00661864" w:rsidRPr="00541F62">
        <w:rPr>
          <w:rFonts w:cs="Arial"/>
          <w:b/>
          <w:sz w:val="32"/>
          <w:szCs w:val="32"/>
        </w:rPr>
        <w:t xml:space="preserve"> </w:t>
      </w:r>
      <w:r w:rsidR="00C102A1" w:rsidRPr="00541F62">
        <w:rPr>
          <w:rFonts w:cs="Arial"/>
          <w:b/>
          <w:sz w:val="32"/>
          <w:szCs w:val="32"/>
        </w:rPr>
        <w:t>Antonio Corradini &amp; M M Valmiki from AESC, Inc.</w:t>
      </w:r>
    </w:p>
    <w:p w14:paraId="5B171F7F" w14:textId="77777777" w:rsidR="00E34E73" w:rsidRPr="00541F62" w:rsidRDefault="00E34E73" w:rsidP="00324D0F">
      <w:pPr>
        <w:rPr>
          <w:rFonts w:cs="Arial"/>
          <w:b/>
          <w:highlight w:val="cyan"/>
        </w:rPr>
      </w:pPr>
    </w:p>
    <w:p w14:paraId="21203A68" w14:textId="77777777" w:rsidR="00C274E0" w:rsidRPr="00541F62" w:rsidRDefault="00C274E0" w:rsidP="00324D0F">
      <w:pPr>
        <w:rPr>
          <w:rFonts w:cs="Arial"/>
          <w:b/>
          <w:highlight w:val="cyan"/>
        </w:rPr>
      </w:pPr>
    </w:p>
    <w:p w14:paraId="6C6D7781" w14:textId="77777777" w:rsidR="00C274E0" w:rsidRPr="00541F62" w:rsidRDefault="00C274E0" w:rsidP="00324D0F">
      <w:pPr>
        <w:rPr>
          <w:rFonts w:cs="Arial"/>
          <w:b/>
          <w:highlight w:val="cyan"/>
        </w:rPr>
      </w:pPr>
    </w:p>
    <w:p w14:paraId="3E8E73E5" w14:textId="77777777" w:rsidR="00324D0F" w:rsidRPr="00541F62" w:rsidRDefault="00324D0F" w:rsidP="00324D0F">
      <w:pPr>
        <w:rPr>
          <w:rFonts w:cs="Arial"/>
          <w:b/>
          <w:bCs/>
          <w:i/>
        </w:rPr>
      </w:pPr>
    </w:p>
    <w:p w14:paraId="7A00DE8C" w14:textId="2A0321AE" w:rsidR="00324D0F" w:rsidRPr="00541F62" w:rsidRDefault="00C102A1" w:rsidP="00A167EC">
      <w:pPr>
        <w:ind w:right="-720"/>
        <w:rPr>
          <w:rFonts w:cs="Arial"/>
          <w:b/>
          <w:sz w:val="56"/>
          <w:szCs w:val="56"/>
        </w:rPr>
      </w:pPr>
      <w:r w:rsidRPr="00541F62">
        <w:rPr>
          <w:rFonts w:cs="Arial"/>
          <w:b/>
          <w:sz w:val="56"/>
          <w:szCs w:val="56"/>
        </w:rPr>
        <w:t xml:space="preserve">High Efficiency Permanent Magnet Synchronous </w:t>
      </w:r>
      <w:r w:rsidR="00DD5AAF" w:rsidRPr="00541F62">
        <w:rPr>
          <w:rFonts w:cs="Arial"/>
          <w:b/>
          <w:sz w:val="56"/>
          <w:szCs w:val="56"/>
        </w:rPr>
        <w:t xml:space="preserve">Fan </w:t>
      </w:r>
      <w:r w:rsidRPr="00541F62">
        <w:rPr>
          <w:rFonts w:cs="Arial"/>
          <w:b/>
          <w:sz w:val="56"/>
          <w:szCs w:val="56"/>
        </w:rPr>
        <w:t>Motor</w:t>
      </w:r>
      <w:r w:rsidR="00DD5AAF" w:rsidRPr="00541F62">
        <w:rPr>
          <w:rFonts w:cs="Arial"/>
          <w:b/>
          <w:sz w:val="56"/>
          <w:szCs w:val="56"/>
        </w:rPr>
        <w:t xml:space="preserve"> Assembly</w:t>
      </w:r>
      <w:r w:rsidRPr="00541F62">
        <w:rPr>
          <w:rFonts w:cs="Arial"/>
          <w:b/>
          <w:sz w:val="56"/>
          <w:szCs w:val="56"/>
        </w:rPr>
        <w:t xml:space="preserve"> for Refrigerated Case Evaporators</w:t>
      </w:r>
    </w:p>
    <w:p w14:paraId="0E669035" w14:textId="77777777" w:rsidR="00CB3583" w:rsidRPr="008E3621" w:rsidRDefault="00E15A06" w:rsidP="002E0043">
      <w:pPr>
        <w:rPr>
          <w:rFonts w:cs="Arial"/>
          <w:b/>
          <w:i/>
          <w:sz w:val="32"/>
          <w:szCs w:val="32"/>
        </w:rPr>
      </w:pPr>
      <w:r w:rsidRPr="008E3621">
        <w:rPr>
          <w:rFonts w:cs="Arial"/>
          <w:b/>
          <w:i/>
          <w:sz w:val="32"/>
          <w:szCs w:val="32"/>
        </w:rPr>
        <w:t>Abstract</w:t>
      </w:r>
    </w:p>
    <w:p w14:paraId="0FB6F1BC" w14:textId="77777777" w:rsidR="00540D0B" w:rsidRPr="008E3621" w:rsidRDefault="00540D0B" w:rsidP="002E0043">
      <w:pPr>
        <w:rPr>
          <w:rFonts w:cs="Arial"/>
          <w:b/>
          <w:i/>
          <w:sz w:val="32"/>
          <w:szCs w:val="32"/>
        </w:rPr>
      </w:pPr>
    </w:p>
    <w:tbl>
      <w:tblPr>
        <w:tblStyle w:val="LightGrid-Accent5"/>
        <w:tblW w:w="9080" w:type="dxa"/>
        <w:tblLook w:val="04A0" w:firstRow="1" w:lastRow="0" w:firstColumn="1" w:lastColumn="0" w:noHBand="0" w:noVBand="1"/>
      </w:tblPr>
      <w:tblGrid>
        <w:gridCol w:w="3370"/>
        <w:gridCol w:w="1390"/>
        <w:gridCol w:w="1260"/>
        <w:gridCol w:w="1023"/>
        <w:gridCol w:w="2037"/>
      </w:tblGrid>
      <w:tr w:rsidR="00717D1D" w:rsidRPr="008E3621" w14:paraId="42AD3712"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080" w:type="dxa"/>
            <w:gridSpan w:val="5"/>
            <w:vAlign w:val="center"/>
          </w:tcPr>
          <w:p w14:paraId="786480C6" w14:textId="77777777" w:rsidR="00717D1D" w:rsidRPr="008E3621" w:rsidRDefault="00717D1D" w:rsidP="00540D0B">
            <w:pPr>
              <w:jc w:val="center"/>
              <w:rPr>
                <w:rFonts w:cs="Arial"/>
                <w:szCs w:val="22"/>
              </w:rPr>
            </w:pPr>
            <w:r w:rsidRPr="008E3621">
              <w:rPr>
                <w:rFonts w:cs="Arial"/>
                <w:szCs w:val="22"/>
              </w:rPr>
              <w:t>WP Abstract Tracking Log</w:t>
            </w:r>
          </w:p>
        </w:tc>
      </w:tr>
      <w:tr w:rsidR="00717D1D" w:rsidRPr="008E3621" w14:paraId="0FC8A920"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A269338" w14:textId="77777777" w:rsidR="00717D1D" w:rsidRPr="00076069" w:rsidRDefault="00076069" w:rsidP="00076069">
            <w:pPr>
              <w:jc w:val="center"/>
              <w:rPr>
                <w:rFonts w:cs="Arial"/>
                <w:szCs w:val="22"/>
              </w:rPr>
            </w:pPr>
            <w:r>
              <w:rPr>
                <w:rFonts w:cs="Arial"/>
                <w:szCs w:val="22"/>
              </w:rPr>
              <w:t>Task</w:t>
            </w:r>
          </w:p>
        </w:tc>
        <w:tc>
          <w:tcPr>
            <w:tcW w:w="1390" w:type="dxa"/>
            <w:vAlign w:val="center"/>
          </w:tcPr>
          <w:p w14:paraId="04EA917B"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Date</w:t>
            </w:r>
            <w:r w:rsidR="00802C18" w:rsidRPr="008E3621">
              <w:rPr>
                <w:rFonts w:cs="Arial"/>
                <w:b/>
                <w:szCs w:val="22"/>
              </w:rPr>
              <w:t xml:space="preserve"> Issued</w:t>
            </w:r>
          </w:p>
        </w:tc>
        <w:tc>
          <w:tcPr>
            <w:tcW w:w="1260" w:type="dxa"/>
            <w:vAlign w:val="center"/>
          </w:tcPr>
          <w:p w14:paraId="35DBCFC2"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 xml:space="preserve">Due </w:t>
            </w:r>
            <w:r w:rsidR="00802C18" w:rsidRPr="008E3621">
              <w:rPr>
                <w:rFonts w:cs="Arial"/>
                <w:b/>
                <w:szCs w:val="22"/>
              </w:rPr>
              <w:t>B</w:t>
            </w:r>
            <w:r w:rsidRPr="008E3621">
              <w:rPr>
                <w:rFonts w:cs="Arial"/>
                <w:b/>
                <w:szCs w:val="22"/>
              </w:rPr>
              <w:t>y</w:t>
            </w:r>
          </w:p>
        </w:tc>
        <w:tc>
          <w:tcPr>
            <w:tcW w:w="1023" w:type="dxa"/>
            <w:vAlign w:val="center"/>
          </w:tcPr>
          <w:p w14:paraId="4CBE2888"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Version</w:t>
            </w:r>
          </w:p>
        </w:tc>
        <w:tc>
          <w:tcPr>
            <w:tcW w:w="2037" w:type="dxa"/>
            <w:vAlign w:val="center"/>
          </w:tcPr>
          <w:p w14:paraId="3625C831" w14:textId="77777777" w:rsidR="00076069" w:rsidRDefault="00076069"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 xml:space="preserve">Author Last Name </w:t>
            </w:r>
          </w:p>
          <w:p w14:paraId="627DD105" w14:textId="77777777" w:rsidR="006A2FAC" w:rsidRPr="008E3621" w:rsidRDefault="00076069" w:rsidP="00076069">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(or primary editor)</w:t>
            </w:r>
          </w:p>
        </w:tc>
      </w:tr>
      <w:tr w:rsidR="00717D1D" w:rsidRPr="008E3621" w14:paraId="2261F5B5"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0CF137" w14:textId="77777777" w:rsidR="00717D1D" w:rsidRPr="008E3621" w:rsidRDefault="00774BF4" w:rsidP="003B53C4">
            <w:pPr>
              <w:rPr>
                <w:rFonts w:cs="Arial"/>
                <w:b w:val="0"/>
                <w:szCs w:val="22"/>
              </w:rPr>
            </w:pPr>
            <w:r w:rsidRPr="008E3621">
              <w:rPr>
                <w:rFonts w:cs="Arial"/>
                <w:b w:val="0"/>
                <w:szCs w:val="22"/>
              </w:rPr>
              <w:t>Submitted to TF Staff for review</w:t>
            </w:r>
          </w:p>
        </w:tc>
        <w:tc>
          <w:tcPr>
            <w:tcW w:w="1390" w:type="dxa"/>
            <w:vAlign w:val="center"/>
          </w:tcPr>
          <w:p w14:paraId="2B8E947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7E33A28"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33AD399"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02D43781"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14B2893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31BE0D1" w14:textId="77777777" w:rsidR="00717D1D" w:rsidRPr="008E3621" w:rsidRDefault="00774BF4" w:rsidP="003B53C4">
            <w:pPr>
              <w:rPr>
                <w:rFonts w:cs="Arial"/>
                <w:b w:val="0"/>
                <w:szCs w:val="22"/>
              </w:rPr>
            </w:pPr>
            <w:r w:rsidRPr="008E3621">
              <w:rPr>
                <w:rFonts w:cs="Arial"/>
                <w:b w:val="0"/>
                <w:szCs w:val="22"/>
              </w:rPr>
              <w:t>TF Staff sent to TF Members for 10-day review</w:t>
            </w:r>
          </w:p>
        </w:tc>
        <w:tc>
          <w:tcPr>
            <w:tcW w:w="1390" w:type="dxa"/>
            <w:vAlign w:val="center"/>
          </w:tcPr>
          <w:p w14:paraId="7F8C695F"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8B34B3C"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15A2207"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19D8293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5A2CCDFC"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47A39B" w14:textId="77777777" w:rsidR="00717D1D" w:rsidRPr="008E3621" w:rsidRDefault="00774BF4" w:rsidP="003B53C4">
            <w:pPr>
              <w:rPr>
                <w:rFonts w:cs="Arial"/>
                <w:b w:val="0"/>
                <w:szCs w:val="22"/>
              </w:rPr>
            </w:pPr>
            <w:r w:rsidRPr="008E3621">
              <w:rPr>
                <w:rFonts w:cs="Arial"/>
                <w:b w:val="0"/>
                <w:szCs w:val="22"/>
              </w:rPr>
              <w:t>Abstract presented at meeting</w:t>
            </w:r>
          </w:p>
        </w:tc>
        <w:tc>
          <w:tcPr>
            <w:tcW w:w="1390" w:type="dxa"/>
            <w:vAlign w:val="center"/>
          </w:tcPr>
          <w:p w14:paraId="775C3EDB"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28E457B0"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5B04C5C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6124C1D4"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4937F603"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3E732F0" w14:textId="77777777" w:rsidR="00717D1D" w:rsidRPr="008E3621" w:rsidRDefault="00717D1D" w:rsidP="00774BF4">
            <w:pPr>
              <w:rPr>
                <w:rFonts w:cs="Arial"/>
                <w:b w:val="0"/>
                <w:szCs w:val="22"/>
              </w:rPr>
            </w:pPr>
            <w:r w:rsidRPr="008E3621">
              <w:rPr>
                <w:rFonts w:cs="Arial"/>
                <w:b w:val="0"/>
                <w:szCs w:val="22"/>
              </w:rPr>
              <w:t>Cal TF</w:t>
            </w:r>
            <w:r w:rsidR="00774BF4" w:rsidRPr="008E3621">
              <w:rPr>
                <w:rFonts w:cs="Arial"/>
                <w:b w:val="0"/>
                <w:szCs w:val="22"/>
              </w:rPr>
              <w:t xml:space="preserve"> Staff summarizes comments, sends back to abstract developer</w:t>
            </w:r>
          </w:p>
        </w:tc>
        <w:tc>
          <w:tcPr>
            <w:tcW w:w="1390" w:type="dxa"/>
            <w:vAlign w:val="center"/>
          </w:tcPr>
          <w:p w14:paraId="5799D45D"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374CFF2"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35A60C9"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D3FF21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0492BE08"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2E5A2D7" w14:textId="77777777" w:rsidR="00717D1D" w:rsidRPr="008E3621" w:rsidRDefault="00774BF4" w:rsidP="003B53C4">
            <w:pPr>
              <w:rPr>
                <w:rFonts w:cs="Arial"/>
                <w:b w:val="0"/>
                <w:szCs w:val="22"/>
              </w:rPr>
            </w:pPr>
            <w:r w:rsidRPr="008E3621">
              <w:rPr>
                <w:rFonts w:cs="Arial"/>
                <w:b w:val="0"/>
                <w:szCs w:val="22"/>
              </w:rPr>
              <w:t>Abstract developer incorporates TF comments into abstract, sends back to TF Staff</w:t>
            </w:r>
          </w:p>
        </w:tc>
        <w:tc>
          <w:tcPr>
            <w:tcW w:w="1390" w:type="dxa"/>
            <w:vAlign w:val="center"/>
          </w:tcPr>
          <w:p w14:paraId="3EA4CC1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336CB8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782BC35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1F23973"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94117BA"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C90F6CD" w14:textId="77777777" w:rsidR="00774BF4" w:rsidRPr="008E3621" w:rsidRDefault="00774BF4" w:rsidP="003B53C4">
            <w:pPr>
              <w:rPr>
                <w:rFonts w:cs="Arial"/>
                <w:b w:val="0"/>
                <w:szCs w:val="22"/>
              </w:rPr>
            </w:pPr>
            <w:r w:rsidRPr="008E3621">
              <w:rPr>
                <w:rFonts w:cs="Arial"/>
                <w:b w:val="0"/>
                <w:szCs w:val="22"/>
              </w:rPr>
              <w:t>Abstract presented to Subcommittee (if applicable)</w:t>
            </w:r>
          </w:p>
        </w:tc>
        <w:tc>
          <w:tcPr>
            <w:tcW w:w="1390" w:type="dxa"/>
            <w:vAlign w:val="center"/>
          </w:tcPr>
          <w:p w14:paraId="3058CB4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597BFE9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4E3F5B4"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3855A8F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74BF4" w:rsidRPr="008E3621" w14:paraId="57A40A9D"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61381349" w14:textId="77777777" w:rsidR="00774BF4" w:rsidRPr="008E3621" w:rsidRDefault="00774BF4" w:rsidP="00076069">
            <w:pPr>
              <w:rPr>
                <w:rFonts w:cs="Arial"/>
                <w:b w:val="0"/>
                <w:szCs w:val="22"/>
              </w:rPr>
            </w:pPr>
            <w:r w:rsidRPr="008E3621">
              <w:rPr>
                <w:rFonts w:cs="Arial"/>
                <w:b w:val="0"/>
                <w:szCs w:val="22"/>
              </w:rPr>
              <w:t>TF Staff summarize</w:t>
            </w:r>
            <w:r w:rsidR="00076069">
              <w:rPr>
                <w:rFonts w:cs="Arial"/>
                <w:b w:val="0"/>
                <w:szCs w:val="22"/>
              </w:rPr>
              <w:t>s</w:t>
            </w:r>
            <w:r w:rsidRPr="008E3621">
              <w:rPr>
                <w:rFonts w:cs="Arial"/>
                <w:b w:val="0"/>
                <w:szCs w:val="22"/>
              </w:rPr>
              <w:t xml:space="preserve"> TF Subcommittee </w:t>
            </w:r>
            <w:r w:rsidRPr="008E3621">
              <w:rPr>
                <w:rFonts w:cs="Arial"/>
                <w:b w:val="0"/>
                <w:szCs w:val="22"/>
              </w:rPr>
              <w:lastRenderedPageBreak/>
              <w:t>recommendations, sen</w:t>
            </w:r>
            <w:r w:rsidR="00076069">
              <w:rPr>
                <w:rFonts w:cs="Arial"/>
                <w:b w:val="0"/>
                <w:szCs w:val="22"/>
              </w:rPr>
              <w:t xml:space="preserve">ds </w:t>
            </w:r>
            <w:r w:rsidRPr="008E3621">
              <w:rPr>
                <w:rFonts w:cs="Arial"/>
                <w:b w:val="0"/>
                <w:szCs w:val="22"/>
              </w:rPr>
              <w:t>back to abstract developer</w:t>
            </w:r>
          </w:p>
        </w:tc>
        <w:tc>
          <w:tcPr>
            <w:tcW w:w="1390" w:type="dxa"/>
            <w:vAlign w:val="center"/>
          </w:tcPr>
          <w:p w14:paraId="3F48B3C2"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6324E3F4"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949F69D"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8698E3"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AD97DC4"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B38142F" w14:textId="77777777" w:rsidR="00774BF4" w:rsidRPr="008E3621" w:rsidRDefault="00774BF4" w:rsidP="003B53C4">
            <w:pPr>
              <w:rPr>
                <w:rFonts w:cs="Arial"/>
                <w:b w:val="0"/>
                <w:szCs w:val="22"/>
              </w:rPr>
            </w:pPr>
            <w:r w:rsidRPr="008E3621">
              <w:rPr>
                <w:rFonts w:cs="Arial"/>
                <w:b w:val="0"/>
                <w:szCs w:val="22"/>
              </w:rPr>
              <w:t>Abstract developer incorporates TF Subcommittee comments into abstract, sends back to TF Staff</w:t>
            </w:r>
          </w:p>
        </w:tc>
        <w:tc>
          <w:tcPr>
            <w:tcW w:w="1390" w:type="dxa"/>
            <w:vAlign w:val="center"/>
          </w:tcPr>
          <w:p w14:paraId="416B1F2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597BB7E"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6900A8D0"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59591DC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249FE05"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14BAB3CE" w14:textId="77777777" w:rsidR="00706517" w:rsidRPr="008E3621" w:rsidRDefault="00706517" w:rsidP="00706517">
            <w:pPr>
              <w:rPr>
                <w:rFonts w:cs="Arial"/>
                <w:b w:val="0"/>
                <w:szCs w:val="22"/>
              </w:rPr>
            </w:pPr>
            <w:r w:rsidRPr="008E3621">
              <w:rPr>
                <w:rFonts w:cs="Arial"/>
                <w:b w:val="0"/>
                <w:szCs w:val="22"/>
              </w:rPr>
              <w:t>TF Staff sends abstract to Commission staff for 10-day review</w:t>
            </w:r>
          </w:p>
        </w:tc>
        <w:tc>
          <w:tcPr>
            <w:tcW w:w="1390" w:type="dxa"/>
            <w:vAlign w:val="center"/>
          </w:tcPr>
          <w:p w14:paraId="59909304"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A64EE9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2D223DD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5AC692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351FE82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A2AFED" w14:textId="77777777" w:rsidR="00706517" w:rsidRPr="008E3621" w:rsidRDefault="00706517" w:rsidP="00706517">
            <w:pPr>
              <w:rPr>
                <w:rFonts w:cs="Arial"/>
                <w:b w:val="0"/>
                <w:szCs w:val="22"/>
              </w:rPr>
            </w:pPr>
            <w:r w:rsidRPr="008E3621">
              <w:rPr>
                <w:rFonts w:cs="Arial"/>
                <w:b w:val="0"/>
                <w:szCs w:val="22"/>
              </w:rPr>
              <w:t>Comments from Commission staff received (if applicable)</w:t>
            </w:r>
          </w:p>
        </w:tc>
        <w:tc>
          <w:tcPr>
            <w:tcW w:w="1390" w:type="dxa"/>
            <w:vAlign w:val="center"/>
          </w:tcPr>
          <w:p w14:paraId="6B43F41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28F7B36E"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41AB48B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31198C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42AE5B50" w14:textId="77777777">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4193D44" w14:textId="77777777" w:rsidR="00706517" w:rsidRPr="008E3621" w:rsidRDefault="00706517" w:rsidP="00706517">
            <w:pPr>
              <w:rPr>
                <w:rFonts w:cs="Arial"/>
                <w:b w:val="0"/>
                <w:szCs w:val="22"/>
              </w:rPr>
            </w:pPr>
            <w:r w:rsidRPr="008E3621">
              <w:rPr>
                <w:rFonts w:cs="Arial"/>
                <w:b w:val="0"/>
                <w:szCs w:val="22"/>
              </w:rPr>
              <w:t>Cal TF summarizes comments</w:t>
            </w:r>
          </w:p>
        </w:tc>
        <w:tc>
          <w:tcPr>
            <w:tcW w:w="1390" w:type="dxa"/>
            <w:vAlign w:val="center"/>
          </w:tcPr>
          <w:p w14:paraId="7750162B"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66F5FDD"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9BD7F0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BEC59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0F16E10A"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5F1EDC5" w14:textId="77777777" w:rsidR="00706517" w:rsidRPr="008E3621" w:rsidRDefault="00706517" w:rsidP="00706517">
            <w:pPr>
              <w:rPr>
                <w:rFonts w:cs="Arial"/>
                <w:b w:val="0"/>
                <w:szCs w:val="22"/>
              </w:rPr>
            </w:pPr>
            <w:r w:rsidRPr="008E3621">
              <w:rPr>
                <w:rFonts w:cs="Arial"/>
                <w:b w:val="0"/>
                <w:szCs w:val="22"/>
              </w:rPr>
              <w:t>Abstract presented at Meeting; consensus decision-marking</w:t>
            </w:r>
          </w:p>
        </w:tc>
        <w:tc>
          <w:tcPr>
            <w:tcW w:w="1390" w:type="dxa"/>
            <w:vAlign w:val="center"/>
          </w:tcPr>
          <w:p w14:paraId="1D3B730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0CB808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B35166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EA9470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FEDAD41"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BC3FC05" w14:textId="77777777" w:rsidR="00706517" w:rsidRPr="008E3621" w:rsidRDefault="00706517" w:rsidP="00706517">
            <w:pPr>
              <w:rPr>
                <w:rFonts w:cs="Arial"/>
                <w:b w:val="0"/>
                <w:szCs w:val="22"/>
              </w:rPr>
            </w:pPr>
            <w:r w:rsidRPr="008E3621">
              <w:rPr>
                <w:rFonts w:cs="Arial"/>
                <w:b w:val="0"/>
                <w:szCs w:val="22"/>
              </w:rPr>
              <w:t>Cal TF finalizes abstract; prepares comparison exhibit of non-consensus items</w:t>
            </w:r>
          </w:p>
        </w:tc>
        <w:tc>
          <w:tcPr>
            <w:tcW w:w="1390" w:type="dxa"/>
            <w:vAlign w:val="center"/>
          </w:tcPr>
          <w:p w14:paraId="28A83F48"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990838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8137C4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3E92C71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1B8DE95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C1C6AE7"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93E2D6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15FE00C"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622DED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22CC881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55846EA3"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E3CB825"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A71369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448F057"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4D39022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F13CBF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2A6D3DD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954DFD" w14:textId="77777777" w:rsidR="00706517" w:rsidRPr="008E3621" w:rsidRDefault="00706517" w:rsidP="00706517">
            <w:pPr>
              <w:rPr>
                <w:rFonts w:cs="Arial"/>
                <w:b w:val="0"/>
                <w:szCs w:val="22"/>
              </w:rPr>
            </w:pPr>
          </w:p>
        </w:tc>
        <w:tc>
          <w:tcPr>
            <w:tcW w:w="1390" w:type="dxa"/>
            <w:vAlign w:val="center"/>
          </w:tcPr>
          <w:p w14:paraId="7EDDB687"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AB04E2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8B32A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C7CCA6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0AA08030"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EB1177" w14:textId="77777777" w:rsidR="00706517" w:rsidRPr="008E3621" w:rsidRDefault="00706517" w:rsidP="00706517">
            <w:pPr>
              <w:rPr>
                <w:rFonts w:cs="Arial"/>
                <w:b w:val="0"/>
                <w:sz w:val="20"/>
              </w:rPr>
            </w:pPr>
          </w:p>
        </w:tc>
        <w:tc>
          <w:tcPr>
            <w:tcW w:w="1390" w:type="dxa"/>
            <w:vAlign w:val="center"/>
          </w:tcPr>
          <w:p w14:paraId="4409D55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849BBD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4FB866D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704E65B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r w:rsidR="00706517" w:rsidRPr="008E3621" w14:paraId="29A25C51"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A62642A" w14:textId="77777777" w:rsidR="00706517" w:rsidRPr="008E3621" w:rsidRDefault="00706517" w:rsidP="00706517">
            <w:pPr>
              <w:rPr>
                <w:rFonts w:cs="Arial"/>
                <w:b w:val="0"/>
                <w:sz w:val="20"/>
              </w:rPr>
            </w:pPr>
          </w:p>
        </w:tc>
        <w:tc>
          <w:tcPr>
            <w:tcW w:w="1390" w:type="dxa"/>
            <w:vAlign w:val="center"/>
          </w:tcPr>
          <w:p w14:paraId="3BA977F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260" w:type="dxa"/>
            <w:vAlign w:val="center"/>
          </w:tcPr>
          <w:p w14:paraId="6F6C67B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023" w:type="dxa"/>
            <w:vAlign w:val="center"/>
          </w:tcPr>
          <w:p w14:paraId="2CD2E22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037" w:type="dxa"/>
            <w:vAlign w:val="center"/>
          </w:tcPr>
          <w:p w14:paraId="313A6E3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r w:rsidR="00706517" w:rsidRPr="008E3621" w14:paraId="430DD3D8"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BC5555" w14:textId="77777777" w:rsidR="00706517" w:rsidRPr="008E3621" w:rsidRDefault="00706517" w:rsidP="00706517">
            <w:pPr>
              <w:rPr>
                <w:rFonts w:cs="Arial"/>
                <w:sz w:val="20"/>
              </w:rPr>
            </w:pPr>
          </w:p>
        </w:tc>
        <w:tc>
          <w:tcPr>
            <w:tcW w:w="1390" w:type="dxa"/>
            <w:vAlign w:val="center"/>
          </w:tcPr>
          <w:p w14:paraId="582289C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00C605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35D913F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63E0D30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bl>
    <w:p w14:paraId="0484E6CE" w14:textId="77777777" w:rsidR="00C274E0" w:rsidRPr="008E3621" w:rsidRDefault="00C274E0" w:rsidP="00844B27">
      <w:pPr>
        <w:rPr>
          <w:rFonts w:cs="Arial"/>
          <w:b/>
          <w:i/>
        </w:rPr>
      </w:pPr>
    </w:p>
    <w:p w14:paraId="79971E6F" w14:textId="77777777" w:rsidR="00F27D7E" w:rsidRPr="008E3621" w:rsidRDefault="00F27D7E" w:rsidP="00844B27">
      <w:pPr>
        <w:rPr>
          <w:rFonts w:cs="Arial"/>
          <w:b/>
          <w:i/>
        </w:rPr>
        <w:sectPr w:rsidR="00F27D7E" w:rsidRPr="008E362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pgNumType w:fmt="lowerRoman" w:start="1"/>
          <w:cols w:space="720"/>
          <w:titlePg/>
          <w:docGrid w:linePitch="360"/>
        </w:sectPr>
      </w:pPr>
    </w:p>
    <w:p w14:paraId="357791F8" w14:textId="77777777" w:rsidR="00C274E0" w:rsidRPr="008E3621" w:rsidRDefault="00C274E0" w:rsidP="00844B27">
      <w:pPr>
        <w:rPr>
          <w:rFonts w:cs="Arial"/>
          <w:b/>
          <w:i/>
        </w:rPr>
      </w:pPr>
    </w:p>
    <w:p w14:paraId="4727A47F" w14:textId="77777777" w:rsidR="00C274E0" w:rsidRPr="008E3621" w:rsidRDefault="00C274E0" w:rsidP="00844B27">
      <w:pPr>
        <w:rPr>
          <w:rFonts w:cs="Arial"/>
          <w:b/>
          <w:i/>
        </w:rPr>
      </w:pPr>
    </w:p>
    <w:p w14:paraId="2D4741AD" w14:textId="77777777" w:rsidR="000D5482" w:rsidRPr="008E3621" w:rsidRDefault="000D5482">
      <w:pPr>
        <w:rPr>
          <w:rFonts w:cs="Arial"/>
          <w:b/>
          <w:i/>
        </w:rPr>
      </w:pPr>
      <w:r w:rsidRPr="008E3621">
        <w:rPr>
          <w:rFonts w:cs="Arial"/>
          <w:b/>
          <w:i/>
        </w:rPr>
        <w:br w:type="page"/>
      </w:r>
    </w:p>
    <w:p w14:paraId="21AF669C" w14:textId="77777777" w:rsidR="00534386" w:rsidRPr="008E3621" w:rsidRDefault="00534386" w:rsidP="00844B27">
      <w:pPr>
        <w:rPr>
          <w:rFonts w:cs="Arial"/>
          <w:b/>
          <w:i/>
        </w:rPr>
        <w:sectPr w:rsidR="00534386" w:rsidRPr="008E3621">
          <w:endnotePr>
            <w:numFmt w:val="decimal"/>
          </w:endnotePr>
          <w:type w:val="continuous"/>
          <w:pgSz w:w="12240" w:h="15840" w:code="1"/>
          <w:pgMar w:top="1440" w:right="1800" w:bottom="1440" w:left="1800" w:header="720" w:footer="720" w:gutter="0"/>
          <w:pgNumType w:fmt="lowerRoman" w:start="1"/>
          <w:cols w:space="720"/>
          <w:titlePg/>
          <w:docGrid w:linePitch="360"/>
        </w:sectPr>
      </w:pPr>
    </w:p>
    <w:p w14:paraId="61004390" w14:textId="25FD0CFE" w:rsidR="00DC470E" w:rsidRPr="008E3621" w:rsidRDefault="00951E98" w:rsidP="00951E98">
      <w:pPr>
        <w:pStyle w:val="Caption"/>
        <w:spacing w:after="60"/>
        <w:rPr>
          <w:rFonts w:cs="Arial"/>
          <w:sz w:val="22"/>
          <w:szCs w:val="22"/>
        </w:rPr>
      </w:pPr>
      <w:r w:rsidRPr="008E3621">
        <w:rPr>
          <w:rFonts w:cs="Arial"/>
          <w:sz w:val="22"/>
          <w:szCs w:val="22"/>
        </w:rPr>
        <w:lastRenderedPageBreak/>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053957">
        <w:rPr>
          <w:rFonts w:cs="Arial"/>
          <w:noProof/>
          <w:sz w:val="22"/>
          <w:szCs w:val="22"/>
        </w:rPr>
        <w:t>1</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493"/>
        <w:gridCol w:w="3330"/>
        <w:gridCol w:w="3517"/>
      </w:tblGrid>
      <w:tr w:rsidR="0099361C" w:rsidRPr="008E3621" w14:paraId="6F2BE5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Borders>
              <w:top w:val="none" w:sz="0" w:space="0" w:color="auto"/>
              <w:left w:val="none" w:sz="0" w:space="0" w:color="auto"/>
              <w:bottom w:val="none" w:sz="0" w:space="0" w:color="auto"/>
              <w:right w:val="none" w:sz="0" w:space="0" w:color="auto"/>
            </w:tcBorders>
            <w:vAlign w:val="center"/>
          </w:tcPr>
          <w:p w14:paraId="622CE3CC" w14:textId="77777777" w:rsidR="0099361C" w:rsidRPr="008E3621" w:rsidRDefault="00DC470E" w:rsidP="00322F50">
            <w:pPr>
              <w:jc w:val="center"/>
              <w:rPr>
                <w:rFonts w:cs="Arial"/>
                <w:color w:val="auto"/>
              </w:rPr>
            </w:pPr>
            <w:r w:rsidRPr="008E3621">
              <w:rPr>
                <w:rFonts w:cs="Arial"/>
                <w:color w:val="auto"/>
              </w:rPr>
              <w:t>Work Paper</w:t>
            </w:r>
            <w:r w:rsidR="0099361C" w:rsidRPr="008E3621">
              <w:rPr>
                <w:rFonts w:cs="Arial"/>
                <w:color w:val="auto"/>
              </w:rPr>
              <w:t xml:space="preserve"> </w:t>
            </w:r>
            <w:r w:rsidR="00322F50" w:rsidRPr="008E3621">
              <w:rPr>
                <w:rFonts w:cs="Arial"/>
                <w:color w:val="auto"/>
              </w:rPr>
              <w:t>Abstract</w:t>
            </w:r>
            <w:r w:rsidR="0099361C" w:rsidRPr="008E3621">
              <w:rPr>
                <w:rFonts w:cs="Arial"/>
                <w:color w:val="auto"/>
              </w:rPr>
              <w:t xml:space="preserve"> Snapshot</w:t>
            </w:r>
          </w:p>
        </w:tc>
      </w:tr>
      <w:tr w:rsidR="00B9513D" w:rsidRPr="008E3621" w14:paraId="1106ED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022150C8" w14:textId="77777777" w:rsidR="007D7677" w:rsidRPr="008E3621" w:rsidRDefault="0099361C" w:rsidP="00C636BA">
            <w:pPr>
              <w:jc w:val="center"/>
              <w:rPr>
                <w:rFonts w:cs="Arial"/>
                <w:color w:val="auto"/>
              </w:rPr>
            </w:pPr>
            <w:r w:rsidRPr="008E3621">
              <w:rPr>
                <w:rFonts w:cs="Arial"/>
                <w:color w:val="auto"/>
              </w:rPr>
              <w:t>Item</w:t>
            </w:r>
          </w:p>
        </w:tc>
        <w:tc>
          <w:tcPr>
            <w:tcW w:w="3330" w:type="dxa"/>
            <w:tcBorders>
              <w:left w:val="none" w:sz="0" w:space="0" w:color="auto"/>
              <w:right w:val="none" w:sz="0" w:space="0" w:color="auto"/>
            </w:tcBorders>
            <w:vAlign w:val="center"/>
          </w:tcPr>
          <w:p w14:paraId="5324B071"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Details</w:t>
            </w:r>
          </w:p>
        </w:tc>
        <w:tc>
          <w:tcPr>
            <w:tcW w:w="3517" w:type="dxa"/>
            <w:tcBorders>
              <w:left w:val="none" w:sz="0" w:space="0" w:color="auto"/>
              <w:right w:val="none" w:sz="0" w:space="0" w:color="auto"/>
            </w:tcBorders>
            <w:vAlign w:val="center"/>
          </w:tcPr>
          <w:p w14:paraId="4191CA33"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Notes</w:t>
            </w:r>
          </w:p>
        </w:tc>
      </w:tr>
      <w:tr w:rsidR="007D7677" w:rsidRPr="008E3621" w14:paraId="6B2C35C0"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51D710EE" w14:textId="77777777" w:rsidR="007D7677" w:rsidRPr="008E3621" w:rsidRDefault="007D7677">
            <w:pPr>
              <w:rPr>
                <w:rFonts w:cs="Arial"/>
                <w:b w:val="0"/>
                <w:color w:val="auto"/>
              </w:rPr>
            </w:pPr>
            <w:r w:rsidRPr="008E3621">
              <w:rPr>
                <w:rFonts w:cs="Arial"/>
                <w:b w:val="0"/>
                <w:color w:val="auto"/>
              </w:rPr>
              <w:t>Measure</w:t>
            </w:r>
            <w:r w:rsidR="000C7F39" w:rsidRPr="008E3621">
              <w:rPr>
                <w:rFonts w:cs="Arial"/>
                <w:b w:val="0"/>
                <w:color w:val="auto"/>
              </w:rPr>
              <w:t xml:space="preserve"> name</w:t>
            </w:r>
          </w:p>
        </w:tc>
        <w:tc>
          <w:tcPr>
            <w:tcW w:w="3330" w:type="dxa"/>
            <w:vAlign w:val="center"/>
          </w:tcPr>
          <w:p w14:paraId="42B15353" w14:textId="08A2D41F" w:rsidR="007D7677" w:rsidRPr="008E3621" w:rsidRDefault="00C102A1" w:rsidP="00DD5AA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High Efficiency Permanent Magnet Synchronous </w:t>
            </w:r>
            <w:r w:rsidR="00DD5AAF">
              <w:rPr>
                <w:rFonts w:cs="Arial"/>
                <w:color w:val="auto"/>
              </w:rPr>
              <w:t xml:space="preserve">Fan </w:t>
            </w:r>
            <w:r>
              <w:rPr>
                <w:rFonts w:cs="Arial"/>
                <w:color w:val="auto"/>
              </w:rPr>
              <w:t>Motor</w:t>
            </w:r>
            <w:r w:rsidR="00541F62">
              <w:rPr>
                <w:rFonts w:cs="Arial"/>
                <w:color w:val="auto"/>
              </w:rPr>
              <w:t xml:space="preserve"> Assembly</w:t>
            </w:r>
            <w:r>
              <w:rPr>
                <w:rFonts w:cs="Arial"/>
                <w:color w:val="auto"/>
              </w:rPr>
              <w:t xml:space="preserve"> for Refrigerated Case Evaporators</w:t>
            </w:r>
          </w:p>
        </w:tc>
        <w:tc>
          <w:tcPr>
            <w:tcW w:w="3517" w:type="dxa"/>
            <w:vAlign w:val="center"/>
          </w:tcPr>
          <w:p w14:paraId="27D68154"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9DC7B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A16F679" w14:textId="77777777" w:rsidR="007D7677" w:rsidRPr="008E3621" w:rsidRDefault="007D7677">
            <w:pPr>
              <w:rPr>
                <w:rFonts w:cs="Arial"/>
                <w:b w:val="0"/>
                <w:color w:val="auto"/>
              </w:rPr>
            </w:pPr>
            <w:r w:rsidRPr="008E3621">
              <w:rPr>
                <w:rFonts w:cs="Arial"/>
                <w:b w:val="0"/>
                <w:color w:val="auto"/>
              </w:rPr>
              <w:t>Measure description</w:t>
            </w:r>
          </w:p>
        </w:tc>
        <w:tc>
          <w:tcPr>
            <w:tcW w:w="3330" w:type="dxa"/>
            <w:tcBorders>
              <w:left w:val="none" w:sz="0" w:space="0" w:color="auto"/>
              <w:right w:val="none" w:sz="0" w:space="0" w:color="auto"/>
            </w:tcBorders>
            <w:vAlign w:val="center"/>
          </w:tcPr>
          <w:p w14:paraId="7DFA2CD6" w14:textId="0D734753" w:rsidR="007D7677" w:rsidRPr="008E3621" w:rsidRDefault="00C102A1" w:rsidP="00C102A1">
            <w:pPr>
              <w:cnfStyle w:val="000000100000" w:firstRow="0" w:lastRow="0" w:firstColumn="0" w:lastColumn="0" w:oddVBand="0" w:evenVBand="0" w:oddHBand="1" w:evenHBand="0" w:firstRowFirstColumn="0" w:firstRowLastColumn="0" w:lastRowFirstColumn="0" w:lastRowLastColumn="0"/>
              <w:rPr>
                <w:rFonts w:cs="Arial"/>
                <w:bCs/>
                <w:color w:val="auto"/>
              </w:rPr>
            </w:pPr>
            <w:r>
              <w:rPr>
                <w:rFonts w:cs="Arial"/>
                <w:bCs/>
                <w:color w:val="auto"/>
              </w:rPr>
              <w:t>Evaporator fan/motor assembly retrofits for refrigerated cases that reduce demand, heat load, and improve power factor.</w:t>
            </w:r>
          </w:p>
        </w:tc>
        <w:tc>
          <w:tcPr>
            <w:tcW w:w="3517" w:type="dxa"/>
            <w:tcBorders>
              <w:left w:val="none" w:sz="0" w:space="0" w:color="auto"/>
              <w:right w:val="none" w:sz="0" w:space="0" w:color="auto"/>
            </w:tcBorders>
            <w:vAlign w:val="center"/>
          </w:tcPr>
          <w:p w14:paraId="01970662"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7D7677" w:rsidRPr="008E3621" w14:paraId="4D10CD62"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3A8622AB" w14:textId="77777777" w:rsidR="007D7677" w:rsidRPr="008E3621" w:rsidRDefault="007D7677">
            <w:pPr>
              <w:rPr>
                <w:rFonts w:cs="Arial"/>
                <w:b w:val="0"/>
                <w:color w:val="auto"/>
              </w:rPr>
            </w:pPr>
            <w:r w:rsidRPr="008E3621">
              <w:rPr>
                <w:rFonts w:cs="Arial"/>
                <w:b w:val="0"/>
                <w:color w:val="auto"/>
              </w:rPr>
              <w:t>Sector (Res/Non-Res)</w:t>
            </w:r>
          </w:p>
        </w:tc>
        <w:tc>
          <w:tcPr>
            <w:tcW w:w="3330" w:type="dxa"/>
            <w:vAlign w:val="center"/>
          </w:tcPr>
          <w:p w14:paraId="46ECCC21" w14:textId="1A83EC62" w:rsidR="007D7677" w:rsidRPr="008E3621" w:rsidRDefault="00C102A1">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Non-Residential</w:t>
            </w:r>
          </w:p>
        </w:tc>
        <w:tc>
          <w:tcPr>
            <w:tcW w:w="3517" w:type="dxa"/>
            <w:vAlign w:val="center"/>
          </w:tcPr>
          <w:p w14:paraId="055FF398" w14:textId="50D3AA12"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2344C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8A4072A" w14:textId="77777777" w:rsidR="007D7677" w:rsidRPr="008E3621" w:rsidRDefault="007D7677">
            <w:pPr>
              <w:rPr>
                <w:rFonts w:cs="Arial"/>
                <w:b w:val="0"/>
                <w:color w:val="auto"/>
              </w:rPr>
            </w:pPr>
            <w:r w:rsidRPr="008E3621">
              <w:rPr>
                <w:rFonts w:cs="Arial"/>
                <w:b w:val="0"/>
                <w:color w:val="auto"/>
              </w:rPr>
              <w:t>Subsector (e.g. Ag)</w:t>
            </w:r>
          </w:p>
        </w:tc>
        <w:tc>
          <w:tcPr>
            <w:tcW w:w="3330" w:type="dxa"/>
            <w:tcBorders>
              <w:left w:val="none" w:sz="0" w:space="0" w:color="auto"/>
              <w:right w:val="none" w:sz="0" w:space="0" w:color="auto"/>
            </w:tcBorders>
            <w:vAlign w:val="center"/>
          </w:tcPr>
          <w:p w14:paraId="67B39293" w14:textId="51765D90" w:rsidR="007D7677" w:rsidRPr="008E3621" w:rsidRDefault="00C102A1">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Food retail</w:t>
            </w:r>
          </w:p>
        </w:tc>
        <w:tc>
          <w:tcPr>
            <w:tcW w:w="3517" w:type="dxa"/>
            <w:tcBorders>
              <w:left w:val="none" w:sz="0" w:space="0" w:color="auto"/>
              <w:right w:val="none" w:sz="0" w:space="0" w:color="auto"/>
            </w:tcBorders>
            <w:vAlign w:val="center"/>
          </w:tcPr>
          <w:p w14:paraId="6F0AF3B5" w14:textId="633044DC" w:rsidR="007D7677" w:rsidRPr="008E3621" w:rsidRDefault="00C102A1">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Supermarkets, convenience stores, gas stations, delis</w:t>
            </w:r>
          </w:p>
        </w:tc>
      </w:tr>
      <w:tr w:rsidR="007D7677" w:rsidRPr="008E3621" w14:paraId="49D2DDC6"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7B6AC445" w14:textId="77777777" w:rsidR="007D7677" w:rsidRPr="008E3621" w:rsidRDefault="00706517">
            <w:pPr>
              <w:rPr>
                <w:rFonts w:cs="Arial"/>
                <w:b w:val="0"/>
                <w:color w:val="auto"/>
              </w:rPr>
            </w:pPr>
            <w:r w:rsidRPr="008E3621">
              <w:rPr>
                <w:rFonts w:cs="Arial"/>
                <w:b w:val="0"/>
                <w:color w:val="auto"/>
              </w:rPr>
              <w:t>Delivery Channel (e.g. Upstream)</w:t>
            </w:r>
          </w:p>
        </w:tc>
        <w:tc>
          <w:tcPr>
            <w:tcW w:w="3330" w:type="dxa"/>
            <w:vAlign w:val="center"/>
          </w:tcPr>
          <w:p w14:paraId="49F88A98" w14:textId="6928E99C" w:rsidR="007D7677" w:rsidRPr="008E3621" w:rsidRDefault="006D6E97" w:rsidP="0005395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Upstream/</w:t>
            </w:r>
            <w:r w:rsidR="00C102A1">
              <w:rPr>
                <w:rFonts w:cs="Arial"/>
                <w:color w:val="auto"/>
              </w:rPr>
              <w:t>Downstream</w:t>
            </w:r>
            <w:r w:rsidR="00404BE0">
              <w:rPr>
                <w:rFonts w:cs="Arial"/>
                <w:color w:val="auto"/>
              </w:rPr>
              <w:t xml:space="preserve"> Prescriptive Rebate</w:t>
            </w:r>
            <w:r w:rsidR="000A1601">
              <w:rPr>
                <w:rFonts w:cs="Arial"/>
                <w:color w:val="auto"/>
              </w:rPr>
              <w:t xml:space="preserve"> </w:t>
            </w:r>
            <w:r w:rsidR="00404BE0">
              <w:rPr>
                <w:rFonts w:cs="Arial"/>
                <w:color w:val="auto"/>
              </w:rPr>
              <w:t>and Direct Install (DI)</w:t>
            </w:r>
          </w:p>
        </w:tc>
        <w:tc>
          <w:tcPr>
            <w:tcW w:w="3517" w:type="dxa"/>
            <w:vAlign w:val="center"/>
          </w:tcPr>
          <w:p w14:paraId="5EE9C90D" w14:textId="40DA2D37" w:rsidR="007D7677" w:rsidRPr="008E3621" w:rsidRDefault="00C102A1" w:rsidP="00DD5AA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Target </w:t>
            </w:r>
            <w:r w:rsidR="006D6E97">
              <w:rPr>
                <w:rFonts w:cs="Arial"/>
                <w:color w:val="auto"/>
              </w:rPr>
              <w:t xml:space="preserve">supermarket </w:t>
            </w:r>
            <w:r w:rsidR="00541F62">
              <w:rPr>
                <w:rFonts w:cs="Arial"/>
                <w:color w:val="auto"/>
              </w:rPr>
              <w:t>customers for fan replacements</w:t>
            </w:r>
          </w:p>
        </w:tc>
      </w:tr>
      <w:tr w:rsidR="007D7677" w:rsidRPr="008E3621" w14:paraId="6A2B76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3992DDE8" w14:textId="77777777" w:rsidR="007D7677" w:rsidRPr="008E3621" w:rsidRDefault="00706517">
            <w:pPr>
              <w:rPr>
                <w:rFonts w:cs="Arial"/>
                <w:b w:val="0"/>
                <w:color w:val="auto"/>
              </w:rPr>
            </w:pPr>
            <w:r w:rsidRPr="008E3621">
              <w:rPr>
                <w:rFonts w:cs="Arial"/>
                <w:b w:val="0"/>
                <w:color w:val="auto"/>
              </w:rPr>
              <w:t>Measure Application Type (e.g. ROB)</w:t>
            </w:r>
          </w:p>
        </w:tc>
        <w:tc>
          <w:tcPr>
            <w:tcW w:w="3330" w:type="dxa"/>
            <w:tcBorders>
              <w:left w:val="none" w:sz="0" w:space="0" w:color="auto"/>
              <w:right w:val="none" w:sz="0" w:space="0" w:color="auto"/>
            </w:tcBorders>
            <w:vAlign w:val="center"/>
          </w:tcPr>
          <w:p w14:paraId="5257D31D" w14:textId="02D20939" w:rsidR="007D7677" w:rsidRPr="008E3621" w:rsidRDefault="006B6C44" w:rsidP="0005395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Early Retirement</w:t>
            </w:r>
            <w:r w:rsidR="000A1601">
              <w:rPr>
                <w:rFonts w:cs="Arial"/>
                <w:color w:val="auto"/>
              </w:rPr>
              <w:t xml:space="preserve"> and </w:t>
            </w:r>
            <w:r w:rsidR="00457B0A">
              <w:rPr>
                <w:rFonts w:cs="Arial"/>
                <w:color w:val="auto"/>
              </w:rPr>
              <w:t>Replace on Burnout</w:t>
            </w:r>
          </w:p>
        </w:tc>
        <w:tc>
          <w:tcPr>
            <w:tcW w:w="3517" w:type="dxa"/>
            <w:tcBorders>
              <w:left w:val="none" w:sz="0" w:space="0" w:color="auto"/>
              <w:right w:val="none" w:sz="0" w:space="0" w:color="auto"/>
            </w:tcBorders>
            <w:vAlign w:val="center"/>
          </w:tcPr>
          <w:p w14:paraId="0E4AE478" w14:textId="6327FBE2" w:rsidR="007D7677" w:rsidRPr="008E3621" w:rsidRDefault="007D7677" w:rsidP="000A1601">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D7677" w:rsidRPr="008E3621" w14:paraId="0AA86109"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206A5112" w14:textId="77777777" w:rsidR="007D7677" w:rsidRPr="008E3621" w:rsidRDefault="007D7677">
            <w:pPr>
              <w:rPr>
                <w:rFonts w:cs="Arial"/>
                <w:color w:val="auto"/>
              </w:rPr>
            </w:pPr>
          </w:p>
        </w:tc>
        <w:tc>
          <w:tcPr>
            <w:tcW w:w="3330" w:type="dxa"/>
            <w:vAlign w:val="center"/>
          </w:tcPr>
          <w:p w14:paraId="29B4D87C"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517" w:type="dxa"/>
            <w:vAlign w:val="center"/>
          </w:tcPr>
          <w:p w14:paraId="19E1E8B0"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3EDAE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789F597A" w14:textId="77777777" w:rsidR="007D7677" w:rsidRPr="008E3621" w:rsidRDefault="007D7677">
            <w:pPr>
              <w:rPr>
                <w:rFonts w:cs="Arial"/>
                <w:color w:val="auto"/>
              </w:rPr>
            </w:pPr>
          </w:p>
        </w:tc>
        <w:tc>
          <w:tcPr>
            <w:tcW w:w="3330" w:type="dxa"/>
            <w:tcBorders>
              <w:left w:val="none" w:sz="0" w:space="0" w:color="auto"/>
              <w:right w:val="none" w:sz="0" w:space="0" w:color="auto"/>
            </w:tcBorders>
            <w:vAlign w:val="center"/>
          </w:tcPr>
          <w:p w14:paraId="14389AE7"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517" w:type="dxa"/>
            <w:tcBorders>
              <w:left w:val="none" w:sz="0" w:space="0" w:color="auto"/>
              <w:right w:val="none" w:sz="0" w:space="0" w:color="auto"/>
            </w:tcBorders>
            <w:vAlign w:val="center"/>
          </w:tcPr>
          <w:p w14:paraId="5A9B53E0"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5A8D0C55" w14:textId="338EC27F" w:rsidR="007B6564" w:rsidRPr="008E3621" w:rsidRDefault="007B6564" w:rsidP="00F27D7E">
      <w:pPr>
        <w:pStyle w:val="Heading1-Abstract"/>
        <w:shd w:val="clear" w:color="auto" w:fill="B8CCE4" w:themeFill="accent1" w:themeFillTint="66"/>
      </w:pPr>
      <w:r w:rsidRPr="008E3621">
        <w:t>Measure Description</w:t>
      </w:r>
      <w:r w:rsidR="00534D65">
        <w:t xml:space="preserve"> &amp; Key Terms</w:t>
      </w:r>
    </w:p>
    <w:p w14:paraId="068E55B5" w14:textId="4FA86734" w:rsidR="00777F6B" w:rsidRDefault="00777F6B" w:rsidP="00B845D5">
      <w:pPr>
        <w:rPr>
          <w:rFonts w:cs="Arial"/>
          <w:iCs/>
          <w:szCs w:val="22"/>
        </w:rPr>
      </w:pPr>
      <w:r>
        <w:rPr>
          <w:rFonts w:cs="Arial"/>
          <w:iCs/>
          <w:szCs w:val="22"/>
        </w:rPr>
        <w:t xml:space="preserve">This abstract is the next natural step to a successful emerging technology study sponsored by </w:t>
      </w:r>
      <w:r w:rsidR="006D6E97">
        <w:rPr>
          <w:rFonts w:cs="Arial"/>
          <w:iCs/>
          <w:szCs w:val="22"/>
        </w:rPr>
        <w:t>the SDG&amp;E ET group in which</w:t>
      </w:r>
      <w:r>
        <w:rPr>
          <w:rFonts w:cs="Arial"/>
          <w:iCs/>
          <w:szCs w:val="22"/>
        </w:rPr>
        <w:t xml:space="preserve"> 173 fan motor assemblies for refrigerated case evapo</w:t>
      </w:r>
      <w:r w:rsidR="006D6E97">
        <w:rPr>
          <w:rFonts w:cs="Arial"/>
          <w:iCs/>
          <w:szCs w:val="22"/>
        </w:rPr>
        <w:t>rators have been tested and showed high savings potential</w:t>
      </w:r>
      <w:r>
        <w:rPr>
          <w:rFonts w:cs="Arial"/>
          <w:iCs/>
          <w:szCs w:val="22"/>
        </w:rPr>
        <w:t>.</w:t>
      </w:r>
      <w:r w:rsidR="006D6E97">
        <w:rPr>
          <w:rFonts w:cs="Arial"/>
          <w:iCs/>
          <w:szCs w:val="22"/>
        </w:rPr>
        <w:t xml:space="preserve"> As a result the</w:t>
      </w:r>
      <w:r w:rsidR="00861976">
        <w:rPr>
          <w:rFonts w:cs="Arial"/>
          <w:iCs/>
          <w:szCs w:val="22"/>
        </w:rPr>
        <w:t xml:space="preserve"> abstract goal is to seek suggestion to include this technology in the energy efficiency programs.</w:t>
      </w:r>
    </w:p>
    <w:p w14:paraId="684DBD04" w14:textId="77777777" w:rsidR="00777F6B" w:rsidRDefault="00777F6B" w:rsidP="00B845D5">
      <w:pPr>
        <w:rPr>
          <w:rFonts w:cs="Arial"/>
          <w:iCs/>
          <w:szCs w:val="22"/>
        </w:rPr>
      </w:pPr>
    </w:p>
    <w:p w14:paraId="326B6C41" w14:textId="370C9AEF" w:rsidR="0064307D" w:rsidRDefault="006D6E97" w:rsidP="00B845D5">
      <w:pPr>
        <w:rPr>
          <w:rFonts w:cs="Arial"/>
          <w:iCs/>
          <w:szCs w:val="22"/>
        </w:rPr>
      </w:pPr>
      <w:r>
        <w:rPr>
          <w:rFonts w:cs="Arial"/>
          <w:iCs/>
          <w:szCs w:val="22"/>
        </w:rPr>
        <w:t xml:space="preserve">Primary </w:t>
      </w:r>
      <w:r w:rsidR="006B6C44" w:rsidRPr="00541F62">
        <w:rPr>
          <w:rFonts w:cs="Arial"/>
          <w:iCs/>
          <w:szCs w:val="22"/>
        </w:rPr>
        <w:t xml:space="preserve">References: </w:t>
      </w:r>
    </w:p>
    <w:p w14:paraId="661D2FD1" w14:textId="77777777" w:rsidR="006D6E97" w:rsidRDefault="006D6E97" w:rsidP="006D6E97">
      <w:pPr>
        <w:rPr>
          <w:rFonts w:cs="Arial"/>
          <w:iCs/>
          <w:szCs w:val="22"/>
        </w:rPr>
      </w:pPr>
    </w:p>
    <w:p w14:paraId="5ED97120" w14:textId="08C05E77" w:rsidR="006B6C44" w:rsidRPr="00541F62" w:rsidRDefault="006B6C44" w:rsidP="006D6E97">
      <w:pPr>
        <w:rPr>
          <w:rFonts w:cs="Arial"/>
          <w:iCs/>
          <w:szCs w:val="22"/>
        </w:rPr>
      </w:pPr>
      <w:r w:rsidRPr="00541F62">
        <w:rPr>
          <w:rFonts w:cs="Arial"/>
          <w:iCs/>
          <w:szCs w:val="22"/>
        </w:rPr>
        <w:t xml:space="preserve">Energy Savings of Permanent Magnet Synchronous </w:t>
      </w:r>
      <w:r w:rsidR="00247E01">
        <w:rPr>
          <w:rFonts w:cs="Arial"/>
          <w:iCs/>
          <w:szCs w:val="22"/>
        </w:rPr>
        <w:t xml:space="preserve">Fan </w:t>
      </w:r>
      <w:r w:rsidRPr="00541F62">
        <w:rPr>
          <w:rFonts w:cs="Arial"/>
          <w:iCs/>
          <w:szCs w:val="22"/>
        </w:rPr>
        <w:t xml:space="preserve">Motors </w:t>
      </w:r>
      <w:r w:rsidR="00247E01">
        <w:rPr>
          <w:rFonts w:cs="Arial"/>
          <w:iCs/>
          <w:szCs w:val="22"/>
        </w:rPr>
        <w:t xml:space="preserve">Assembly for </w:t>
      </w:r>
      <w:r w:rsidRPr="00541F62">
        <w:rPr>
          <w:rFonts w:cs="Arial"/>
          <w:iCs/>
          <w:szCs w:val="22"/>
        </w:rPr>
        <w:t>Refrigerated Case</w:t>
      </w:r>
      <w:r w:rsidR="00247E01">
        <w:rPr>
          <w:rFonts w:cs="Arial"/>
          <w:iCs/>
          <w:szCs w:val="22"/>
        </w:rPr>
        <w:t xml:space="preserve"> evaporators</w:t>
      </w:r>
      <w:r w:rsidRPr="00541F62">
        <w:rPr>
          <w:rFonts w:cs="Arial"/>
          <w:iCs/>
          <w:szCs w:val="22"/>
        </w:rPr>
        <w:t>, ET15SDG1061, SDG&amp;E Emerging Technologies, March 2016.</w:t>
      </w:r>
    </w:p>
    <w:p w14:paraId="668ED266" w14:textId="77777777" w:rsidR="006B6C44" w:rsidRPr="00541F62" w:rsidRDefault="006B6C44" w:rsidP="00B845D5">
      <w:pPr>
        <w:rPr>
          <w:rFonts w:cs="Arial"/>
          <w:iCs/>
          <w:szCs w:val="22"/>
        </w:rPr>
      </w:pPr>
    </w:p>
    <w:p w14:paraId="4977B526" w14:textId="2CEBDBE6" w:rsidR="006B6C44" w:rsidRPr="00541F62" w:rsidRDefault="006B6C44" w:rsidP="006D6E97">
      <w:pPr>
        <w:rPr>
          <w:rFonts w:cs="Arial"/>
          <w:iCs/>
          <w:szCs w:val="22"/>
        </w:rPr>
      </w:pPr>
      <w:r w:rsidRPr="00541F62">
        <w:rPr>
          <w:rFonts w:cs="Arial"/>
          <w:iCs/>
          <w:szCs w:val="22"/>
        </w:rPr>
        <w:t>Q-Sync Motors in Commercial Refrigeration: Preliminary Test Results and Projected Benefits, Oak Ridge National Laboratory, September 2015.</w:t>
      </w:r>
    </w:p>
    <w:p w14:paraId="3D8EDE1D" w14:textId="77777777" w:rsidR="006B6C44" w:rsidRPr="00541F62" w:rsidRDefault="006B6C44" w:rsidP="00B845D5">
      <w:pPr>
        <w:rPr>
          <w:rFonts w:cs="Arial"/>
          <w:iCs/>
          <w:szCs w:val="22"/>
        </w:rPr>
      </w:pPr>
    </w:p>
    <w:p w14:paraId="7E7F1046" w14:textId="7FA4F151" w:rsidR="006B6C44" w:rsidRPr="00541F62" w:rsidRDefault="006B6C44" w:rsidP="002B69C1">
      <w:pPr>
        <w:jc w:val="both"/>
        <w:rPr>
          <w:rFonts w:cs="Arial"/>
          <w:iCs/>
          <w:szCs w:val="22"/>
        </w:rPr>
      </w:pPr>
      <w:r w:rsidRPr="00541F62">
        <w:rPr>
          <w:rFonts w:cs="Arial"/>
          <w:iCs/>
          <w:szCs w:val="22"/>
        </w:rPr>
        <w:t xml:space="preserve">Refrigerated cases in supermarkets, convenience stores, pharmacies, and other commercial customers with food retail operations rely on small fans that circulate air past </w:t>
      </w:r>
      <w:r w:rsidR="00DD5AAF" w:rsidRPr="00541F62">
        <w:rPr>
          <w:rFonts w:cs="Arial"/>
          <w:iCs/>
          <w:szCs w:val="22"/>
        </w:rPr>
        <w:t xml:space="preserve">evaporator </w:t>
      </w:r>
      <w:r w:rsidRPr="00541F62">
        <w:rPr>
          <w:rFonts w:cs="Arial"/>
          <w:iCs/>
          <w:szCs w:val="22"/>
        </w:rPr>
        <w:t xml:space="preserve">coils to maintain case </w:t>
      </w:r>
      <w:r w:rsidR="00DD5AAF" w:rsidRPr="00541F62">
        <w:rPr>
          <w:rFonts w:cs="Arial"/>
          <w:iCs/>
          <w:szCs w:val="22"/>
        </w:rPr>
        <w:t xml:space="preserve">temperature </w:t>
      </w:r>
      <w:r w:rsidRPr="00541F62">
        <w:rPr>
          <w:rFonts w:cs="Arial"/>
          <w:iCs/>
          <w:szCs w:val="22"/>
        </w:rPr>
        <w:t>setpoints. The</w:t>
      </w:r>
      <w:r w:rsidR="00005D99">
        <w:rPr>
          <w:rFonts w:cs="Arial"/>
          <w:iCs/>
          <w:szCs w:val="22"/>
        </w:rPr>
        <w:t>se</w:t>
      </w:r>
      <w:r w:rsidRPr="00541F62">
        <w:rPr>
          <w:rFonts w:cs="Arial"/>
          <w:iCs/>
          <w:szCs w:val="22"/>
        </w:rPr>
        <w:t xml:space="preserve"> fans operate 24/7 with the exception of brief, daily defrost periods in most freezer cases. </w:t>
      </w:r>
      <w:r w:rsidR="00BD4446">
        <w:rPr>
          <w:rFonts w:cs="Arial"/>
          <w:iCs/>
          <w:szCs w:val="22"/>
        </w:rPr>
        <w:t>Evaporator</w:t>
      </w:r>
      <w:r w:rsidR="00BD4446" w:rsidRPr="00541F62">
        <w:rPr>
          <w:rFonts w:cs="Arial"/>
          <w:iCs/>
          <w:szCs w:val="22"/>
        </w:rPr>
        <w:t xml:space="preserve"> </w:t>
      </w:r>
      <w:r w:rsidRPr="00541F62">
        <w:rPr>
          <w:rFonts w:cs="Arial"/>
          <w:iCs/>
          <w:szCs w:val="22"/>
        </w:rPr>
        <w:t xml:space="preserve">fans are powered by small motors, which are typically ECMs </w:t>
      </w:r>
      <w:r w:rsidR="006D6E97">
        <w:rPr>
          <w:rFonts w:cs="Arial"/>
          <w:iCs/>
          <w:szCs w:val="22"/>
        </w:rPr>
        <w:t xml:space="preserve">or shaded pole </w:t>
      </w:r>
      <w:r w:rsidRPr="00541F62">
        <w:rPr>
          <w:rFonts w:cs="Arial"/>
          <w:iCs/>
          <w:szCs w:val="22"/>
        </w:rPr>
        <w:t xml:space="preserve">based on industry standard practice (although incumbent motors will occasionally be split capacitor type). The units are purchased and replaced as preassembled units of fan, coupling, electronics, and motor. These assemblies come in varying fractional horsepower sizes and can be categorized as 4-8W, 9-12W, or 38-50W. </w:t>
      </w:r>
      <w:r w:rsidR="00BD4446" w:rsidRPr="00541F62">
        <w:rPr>
          <w:rFonts w:cs="Arial"/>
          <w:iCs/>
          <w:szCs w:val="22"/>
        </w:rPr>
        <w:t>The</w:t>
      </w:r>
      <w:r w:rsidR="006D6E97">
        <w:rPr>
          <w:rFonts w:cs="Arial"/>
          <w:iCs/>
          <w:szCs w:val="22"/>
        </w:rPr>
        <w:t>se sizes</w:t>
      </w:r>
      <w:r w:rsidR="00BD4446" w:rsidRPr="00541F62">
        <w:rPr>
          <w:rFonts w:cs="Arial"/>
          <w:iCs/>
          <w:szCs w:val="22"/>
        </w:rPr>
        <w:t xml:space="preserve"> </w:t>
      </w:r>
      <w:r w:rsidRPr="00541F62">
        <w:rPr>
          <w:rFonts w:cs="Arial"/>
          <w:iCs/>
          <w:szCs w:val="22"/>
        </w:rPr>
        <w:t>are typically used in small refrigerated cases, mid-size reach-in refrigeration or freezer cases, and walk-ins</w:t>
      </w:r>
      <w:r w:rsidR="002B69C1">
        <w:rPr>
          <w:rFonts w:cs="Arial"/>
          <w:iCs/>
          <w:szCs w:val="22"/>
        </w:rPr>
        <w:t xml:space="preserve"> respectively</w:t>
      </w:r>
      <w:r w:rsidRPr="00541F62">
        <w:rPr>
          <w:rFonts w:cs="Arial"/>
          <w:iCs/>
          <w:szCs w:val="22"/>
        </w:rPr>
        <w:t>. This workpaper focuses only on the mid-size 9-12W motors</w:t>
      </w:r>
      <w:r w:rsidR="00CB5C02">
        <w:rPr>
          <w:rFonts w:cs="Arial"/>
          <w:iCs/>
          <w:szCs w:val="22"/>
        </w:rPr>
        <w:t xml:space="preserve"> </w:t>
      </w:r>
      <w:r w:rsidR="00BD4446">
        <w:rPr>
          <w:rFonts w:cs="Arial"/>
          <w:iCs/>
          <w:szCs w:val="22"/>
        </w:rPr>
        <w:t>that</w:t>
      </w:r>
      <w:r w:rsidRPr="00541F62">
        <w:rPr>
          <w:rFonts w:cs="Arial"/>
          <w:iCs/>
          <w:szCs w:val="22"/>
        </w:rPr>
        <w:t xml:space="preserve"> are the most common and are employed in the majority of reach-in refrigeration or freezer cases.</w:t>
      </w:r>
    </w:p>
    <w:p w14:paraId="6F5FC677" w14:textId="7832D4C1" w:rsidR="006B6C44" w:rsidRDefault="006B6C44" w:rsidP="0025558A">
      <w:pPr>
        <w:jc w:val="both"/>
        <w:rPr>
          <w:rFonts w:cs="Arial"/>
          <w:iCs/>
          <w:szCs w:val="22"/>
        </w:rPr>
      </w:pPr>
      <w:r w:rsidRPr="00541F62">
        <w:rPr>
          <w:rFonts w:cs="Arial"/>
          <w:iCs/>
          <w:szCs w:val="22"/>
        </w:rPr>
        <w:lastRenderedPageBreak/>
        <w:t>The proposed measure is a new type of permanent magnet synchronous motor (PMSM)</w:t>
      </w:r>
      <w:r w:rsidR="006D6E97">
        <w:rPr>
          <w:rFonts w:cs="Arial"/>
          <w:iCs/>
          <w:szCs w:val="22"/>
        </w:rPr>
        <w:t xml:space="preserve"> fan assembly</w:t>
      </w:r>
      <w:r w:rsidRPr="00541F62">
        <w:rPr>
          <w:rFonts w:cs="Arial"/>
          <w:iCs/>
          <w:szCs w:val="22"/>
        </w:rPr>
        <w:t xml:space="preserve"> that uses new technology to provide an affordable energy efficiency solution to </w:t>
      </w:r>
      <w:r w:rsidR="00301141" w:rsidRPr="00541F62">
        <w:rPr>
          <w:rFonts w:cs="Arial"/>
          <w:iCs/>
          <w:szCs w:val="22"/>
        </w:rPr>
        <w:t>ECM</w:t>
      </w:r>
      <w:r w:rsidR="00301141">
        <w:rPr>
          <w:rFonts w:cs="Arial"/>
          <w:iCs/>
          <w:szCs w:val="22"/>
        </w:rPr>
        <w:t xml:space="preserve"> </w:t>
      </w:r>
      <w:r w:rsidRPr="00541F62">
        <w:rPr>
          <w:rFonts w:cs="Arial"/>
          <w:iCs/>
          <w:szCs w:val="22"/>
        </w:rPr>
        <w:t xml:space="preserve">losses. The measure improves efficiency and power factor by </w:t>
      </w:r>
      <w:r w:rsidR="00E40388">
        <w:rPr>
          <w:rFonts w:cs="Arial"/>
          <w:iCs/>
          <w:szCs w:val="22"/>
        </w:rPr>
        <w:t>by-pass</w:t>
      </w:r>
      <w:r w:rsidR="00861976">
        <w:rPr>
          <w:rFonts w:cs="Arial"/>
          <w:iCs/>
          <w:szCs w:val="22"/>
        </w:rPr>
        <w:t>ing</w:t>
      </w:r>
      <w:r w:rsidRPr="00541F62">
        <w:rPr>
          <w:rFonts w:cs="Arial"/>
          <w:iCs/>
          <w:szCs w:val="22"/>
        </w:rPr>
        <w:t xml:space="preserve"> supply power rectification </w:t>
      </w:r>
      <w:r w:rsidR="006D6E97">
        <w:rPr>
          <w:rFonts w:cs="Arial"/>
          <w:iCs/>
          <w:szCs w:val="22"/>
        </w:rPr>
        <w:t>during the vast majority of motor operation</w:t>
      </w:r>
      <w:r w:rsidR="00E40388">
        <w:rPr>
          <w:rFonts w:cs="Arial"/>
          <w:iCs/>
          <w:szCs w:val="22"/>
        </w:rPr>
        <w:t xml:space="preserve"> at </w:t>
      </w:r>
      <w:r w:rsidR="00C04E16">
        <w:rPr>
          <w:rFonts w:cs="Arial"/>
          <w:iCs/>
          <w:szCs w:val="22"/>
        </w:rPr>
        <w:t>synchronous</w:t>
      </w:r>
      <w:r w:rsidR="00E40388">
        <w:rPr>
          <w:rFonts w:cs="Arial"/>
          <w:iCs/>
          <w:szCs w:val="22"/>
        </w:rPr>
        <w:t xml:space="preserve"> speed</w:t>
      </w:r>
      <w:r w:rsidR="0064307D">
        <w:rPr>
          <w:rFonts w:cs="Arial"/>
          <w:iCs/>
          <w:szCs w:val="22"/>
        </w:rPr>
        <w:t xml:space="preserve">. </w:t>
      </w:r>
      <w:r w:rsidR="0064307D" w:rsidRPr="00541F62">
        <w:rPr>
          <w:rFonts w:cs="Arial"/>
          <w:iCs/>
          <w:szCs w:val="22"/>
        </w:rPr>
        <w:t>The AC to DC rectification</w:t>
      </w:r>
      <w:r w:rsidR="00E40388">
        <w:rPr>
          <w:rFonts w:cs="Arial"/>
          <w:iCs/>
          <w:szCs w:val="22"/>
        </w:rPr>
        <w:t>,</w:t>
      </w:r>
      <w:r w:rsidR="0064307D" w:rsidRPr="00541F62">
        <w:rPr>
          <w:rFonts w:cs="Arial"/>
          <w:iCs/>
          <w:szCs w:val="22"/>
        </w:rPr>
        <w:t xml:space="preserve"> which is necessary </w:t>
      </w:r>
      <w:r w:rsidR="00E40388">
        <w:rPr>
          <w:rFonts w:cs="Arial"/>
          <w:iCs/>
          <w:szCs w:val="22"/>
        </w:rPr>
        <w:t>for</w:t>
      </w:r>
      <w:r w:rsidR="00E40388" w:rsidRPr="00541F62">
        <w:rPr>
          <w:rFonts w:cs="Arial"/>
          <w:iCs/>
          <w:szCs w:val="22"/>
        </w:rPr>
        <w:t xml:space="preserve"> </w:t>
      </w:r>
      <w:r w:rsidR="0064307D" w:rsidRPr="00541F62">
        <w:rPr>
          <w:rFonts w:cs="Arial"/>
          <w:iCs/>
          <w:szCs w:val="22"/>
        </w:rPr>
        <w:t xml:space="preserve">ECM </w:t>
      </w:r>
      <w:r w:rsidR="00E40388">
        <w:rPr>
          <w:rFonts w:cs="Arial"/>
          <w:iCs/>
          <w:szCs w:val="22"/>
        </w:rPr>
        <w:t xml:space="preserve">control </w:t>
      </w:r>
      <w:r w:rsidR="0064307D" w:rsidRPr="00541F62">
        <w:rPr>
          <w:rFonts w:cs="Arial"/>
          <w:iCs/>
          <w:szCs w:val="22"/>
        </w:rPr>
        <w:t>on a continuous basis</w:t>
      </w:r>
      <w:r w:rsidR="00E40388">
        <w:rPr>
          <w:rFonts w:cs="Arial"/>
          <w:iCs/>
          <w:szCs w:val="22"/>
        </w:rPr>
        <w:t>,</w:t>
      </w:r>
      <w:r w:rsidR="0064307D" w:rsidRPr="00541F62">
        <w:rPr>
          <w:rFonts w:cs="Arial"/>
          <w:iCs/>
          <w:szCs w:val="22"/>
        </w:rPr>
        <w:t xml:space="preserve"> is turned off for the proposed technology when the motor speed is synchronous with the grid.</w:t>
      </w:r>
      <w:r w:rsidR="0064307D">
        <w:rPr>
          <w:rFonts w:cs="Arial"/>
          <w:iCs/>
          <w:szCs w:val="22"/>
        </w:rPr>
        <w:t xml:space="preserve"> When that happens the motor is directly connected to the grid witho</w:t>
      </w:r>
      <w:r w:rsidR="006D6E97">
        <w:rPr>
          <w:rFonts w:cs="Arial"/>
          <w:iCs/>
          <w:szCs w:val="22"/>
        </w:rPr>
        <w:t>ut the electronics “in between.”</w:t>
      </w:r>
      <w:r w:rsidR="0064307D" w:rsidRPr="00541F62">
        <w:rPr>
          <w:rFonts w:cs="Arial"/>
          <w:iCs/>
          <w:szCs w:val="22"/>
        </w:rPr>
        <w:t xml:space="preserve"> </w:t>
      </w:r>
      <w:r w:rsidR="0064307D">
        <w:rPr>
          <w:rFonts w:cs="Arial"/>
          <w:iCs/>
          <w:szCs w:val="22"/>
        </w:rPr>
        <w:t>The technology u</w:t>
      </w:r>
      <w:r w:rsidRPr="00541F62">
        <w:rPr>
          <w:rFonts w:cs="Arial"/>
          <w:iCs/>
          <w:szCs w:val="22"/>
        </w:rPr>
        <w:t>s</w:t>
      </w:r>
      <w:r w:rsidR="0064307D">
        <w:rPr>
          <w:rFonts w:cs="Arial"/>
          <w:iCs/>
          <w:szCs w:val="22"/>
        </w:rPr>
        <w:t>es</w:t>
      </w:r>
      <w:r w:rsidRPr="00541F62">
        <w:rPr>
          <w:rFonts w:cs="Arial"/>
          <w:iCs/>
          <w:szCs w:val="22"/>
        </w:rPr>
        <w:t xml:space="preserve"> a Hall effect sensor to </w:t>
      </w:r>
      <w:r w:rsidR="0064307D">
        <w:rPr>
          <w:rFonts w:cs="Arial"/>
          <w:iCs/>
          <w:szCs w:val="22"/>
        </w:rPr>
        <w:t>verify that the motor is turning at</w:t>
      </w:r>
      <w:r w:rsidRPr="00541F62">
        <w:rPr>
          <w:rFonts w:cs="Arial"/>
          <w:iCs/>
          <w:szCs w:val="22"/>
        </w:rPr>
        <w:t xml:space="preserve"> synchronous speed.</w:t>
      </w:r>
      <w:r w:rsidR="0064307D">
        <w:rPr>
          <w:rFonts w:cs="Arial"/>
          <w:iCs/>
          <w:szCs w:val="22"/>
        </w:rPr>
        <w:t xml:space="preserve"> </w:t>
      </w:r>
      <w:r w:rsidR="00D1681E">
        <w:rPr>
          <w:rFonts w:cs="Arial"/>
          <w:iCs/>
          <w:szCs w:val="22"/>
        </w:rPr>
        <w:t xml:space="preserve">The electronics are controlling the motor only during start up and when operating at lower then synchronous speed. </w:t>
      </w:r>
    </w:p>
    <w:p w14:paraId="0B7C3EEE" w14:textId="77777777" w:rsidR="00E40388" w:rsidRPr="00541F62" w:rsidRDefault="00E40388" w:rsidP="0025558A">
      <w:pPr>
        <w:jc w:val="both"/>
        <w:rPr>
          <w:rFonts w:cs="Arial"/>
          <w:iCs/>
          <w:szCs w:val="22"/>
        </w:rPr>
      </w:pPr>
    </w:p>
    <w:p w14:paraId="60D0B83E" w14:textId="77777777" w:rsidR="006D6E97" w:rsidRDefault="006B6C44" w:rsidP="006D6E97">
      <w:pPr>
        <w:jc w:val="both"/>
        <w:rPr>
          <w:rFonts w:cs="Arial"/>
          <w:iCs/>
          <w:szCs w:val="22"/>
        </w:rPr>
      </w:pPr>
      <w:r w:rsidRPr="00541F62">
        <w:rPr>
          <w:rFonts w:cs="Arial"/>
          <w:iCs/>
          <w:szCs w:val="22"/>
        </w:rPr>
        <w:t xml:space="preserve">The </w:t>
      </w:r>
      <w:r w:rsidR="007F5121" w:rsidRPr="00541F62">
        <w:rPr>
          <w:rFonts w:cs="Arial"/>
          <w:iCs/>
          <w:szCs w:val="22"/>
        </w:rPr>
        <w:t xml:space="preserve">high efficiency </w:t>
      </w:r>
      <w:r w:rsidRPr="00541F62">
        <w:rPr>
          <w:rFonts w:cs="Arial"/>
          <w:iCs/>
          <w:szCs w:val="22"/>
        </w:rPr>
        <w:t xml:space="preserve">PMSM fan assemblies are easily installed as long as the </w:t>
      </w:r>
      <w:r w:rsidR="000A5FE2">
        <w:rPr>
          <w:rFonts w:cs="Arial"/>
          <w:iCs/>
          <w:szCs w:val="22"/>
        </w:rPr>
        <w:t xml:space="preserve">right size fan is </w:t>
      </w:r>
      <w:r w:rsidR="006D6E97">
        <w:rPr>
          <w:rFonts w:cs="Arial"/>
          <w:iCs/>
          <w:szCs w:val="22"/>
        </w:rPr>
        <w:t>selected</w:t>
      </w:r>
      <w:r w:rsidR="000A5FE2">
        <w:rPr>
          <w:rFonts w:cs="Arial"/>
          <w:iCs/>
          <w:szCs w:val="22"/>
        </w:rPr>
        <w:t xml:space="preserve"> </w:t>
      </w:r>
      <w:r w:rsidR="006D6E97">
        <w:rPr>
          <w:rFonts w:cs="Arial"/>
          <w:iCs/>
          <w:szCs w:val="22"/>
        </w:rPr>
        <w:t>for</w:t>
      </w:r>
      <w:r w:rsidR="000A5FE2">
        <w:rPr>
          <w:rFonts w:cs="Arial"/>
          <w:iCs/>
          <w:szCs w:val="22"/>
        </w:rPr>
        <w:t xml:space="preserve"> the case frame</w:t>
      </w:r>
      <w:r w:rsidRPr="00541F62">
        <w:rPr>
          <w:rFonts w:cs="Arial"/>
          <w:iCs/>
          <w:szCs w:val="22"/>
        </w:rPr>
        <w:t>. Retrofit installation can be performed easily by a r</w:t>
      </w:r>
      <w:r w:rsidR="006D6E97">
        <w:rPr>
          <w:rFonts w:cs="Arial"/>
          <w:iCs/>
          <w:szCs w:val="22"/>
        </w:rPr>
        <w:t>efrigeration contractor in less than</w:t>
      </w:r>
      <w:r w:rsidRPr="00541F62">
        <w:rPr>
          <w:rFonts w:cs="Arial"/>
          <w:iCs/>
          <w:szCs w:val="22"/>
        </w:rPr>
        <w:t xml:space="preserve"> 10 minutes</w:t>
      </w:r>
      <w:r w:rsidR="000452AD" w:rsidRPr="00541F62">
        <w:rPr>
          <w:rFonts w:cs="Arial"/>
          <w:iCs/>
          <w:szCs w:val="22"/>
        </w:rPr>
        <w:t xml:space="preserve"> once the cases ha</w:t>
      </w:r>
      <w:r w:rsidR="0030157C">
        <w:rPr>
          <w:rFonts w:cs="Arial"/>
          <w:iCs/>
          <w:szCs w:val="22"/>
        </w:rPr>
        <w:t>ve</w:t>
      </w:r>
      <w:r w:rsidR="000452AD" w:rsidRPr="00541F62">
        <w:rPr>
          <w:rFonts w:cs="Arial"/>
          <w:iCs/>
          <w:szCs w:val="22"/>
        </w:rPr>
        <w:t xml:space="preserve"> been emptied of the food</w:t>
      </w:r>
      <w:r w:rsidRPr="00541F62">
        <w:rPr>
          <w:rFonts w:cs="Arial"/>
          <w:iCs/>
          <w:szCs w:val="22"/>
        </w:rPr>
        <w:t xml:space="preserve">. </w:t>
      </w:r>
    </w:p>
    <w:p w14:paraId="241E74F2" w14:textId="77777777" w:rsidR="006D6E97" w:rsidRDefault="006D6E97" w:rsidP="00B845D5">
      <w:pPr>
        <w:rPr>
          <w:rFonts w:cs="Arial"/>
          <w:iCs/>
          <w:szCs w:val="22"/>
        </w:rPr>
      </w:pPr>
    </w:p>
    <w:p w14:paraId="14FA955E" w14:textId="42391D1B" w:rsidR="006B6C44" w:rsidRPr="00541F62" w:rsidRDefault="006B6C44" w:rsidP="00B845D5">
      <w:pPr>
        <w:rPr>
          <w:rFonts w:cs="Arial"/>
          <w:iCs/>
          <w:szCs w:val="22"/>
        </w:rPr>
      </w:pPr>
      <w:r w:rsidRPr="00541F62">
        <w:rPr>
          <w:rFonts w:cs="Arial"/>
          <w:iCs/>
          <w:szCs w:val="22"/>
        </w:rPr>
        <w:t>These motors are expected to have a</w:t>
      </w:r>
      <w:r w:rsidR="000452AD" w:rsidRPr="00541F62">
        <w:rPr>
          <w:rFonts w:cs="Arial"/>
          <w:iCs/>
          <w:szCs w:val="22"/>
        </w:rPr>
        <w:t>n</w:t>
      </w:r>
      <w:r w:rsidRPr="00541F62">
        <w:rPr>
          <w:rFonts w:cs="Arial"/>
          <w:iCs/>
          <w:szCs w:val="22"/>
        </w:rPr>
        <w:t xml:space="preserve"> </w:t>
      </w:r>
      <w:r w:rsidR="00BD1780" w:rsidRPr="00541F62">
        <w:rPr>
          <w:rFonts w:cs="Arial"/>
          <w:iCs/>
          <w:szCs w:val="22"/>
        </w:rPr>
        <w:t xml:space="preserve">effective useful </w:t>
      </w:r>
      <w:r w:rsidRPr="00541F62">
        <w:rPr>
          <w:rFonts w:cs="Arial"/>
          <w:iCs/>
          <w:szCs w:val="22"/>
        </w:rPr>
        <w:t xml:space="preserve">lifespan of </w:t>
      </w:r>
      <w:r w:rsidR="006D3D1A">
        <w:rPr>
          <w:rFonts w:cs="Arial"/>
          <w:iCs/>
          <w:szCs w:val="22"/>
        </w:rPr>
        <w:t>15</w:t>
      </w:r>
      <w:r w:rsidR="00BD1780" w:rsidRPr="00541F62">
        <w:rPr>
          <w:rFonts w:cs="Arial"/>
          <w:iCs/>
          <w:szCs w:val="22"/>
        </w:rPr>
        <w:t xml:space="preserve"> years</w:t>
      </w:r>
      <w:r w:rsidR="000A5FE2">
        <w:rPr>
          <w:rFonts w:cs="Arial"/>
          <w:iCs/>
          <w:szCs w:val="22"/>
        </w:rPr>
        <w:t xml:space="preserve"> as the existing ECM (PG&amp;E FSTC Report 5011.05.13</w:t>
      </w:r>
      <w:r w:rsidR="00F26234">
        <w:rPr>
          <w:rFonts w:cs="Arial"/>
          <w:iCs/>
          <w:szCs w:val="22"/>
        </w:rPr>
        <w:t xml:space="preserve"> and other work paper and deemed measures</w:t>
      </w:r>
      <w:r w:rsidR="000A5FE2">
        <w:rPr>
          <w:rFonts w:cs="Arial"/>
          <w:iCs/>
          <w:szCs w:val="22"/>
        </w:rPr>
        <w:t>)</w:t>
      </w:r>
      <w:r w:rsidR="00BD1780" w:rsidRPr="00541F62">
        <w:rPr>
          <w:rFonts w:cs="Arial"/>
          <w:iCs/>
          <w:szCs w:val="22"/>
        </w:rPr>
        <w:t>.</w:t>
      </w:r>
    </w:p>
    <w:p w14:paraId="25B8D489" w14:textId="77777777" w:rsidR="00BD1780" w:rsidRPr="00541F62" w:rsidRDefault="00BD1780" w:rsidP="00B845D5">
      <w:pPr>
        <w:rPr>
          <w:rFonts w:cs="Arial"/>
          <w:iCs/>
          <w:szCs w:val="22"/>
        </w:rPr>
      </w:pPr>
    </w:p>
    <w:p w14:paraId="23DAC212" w14:textId="1BD0EDEE" w:rsidR="00BD1780" w:rsidRPr="00541F62" w:rsidRDefault="00BD1780" w:rsidP="0025558A">
      <w:pPr>
        <w:jc w:val="both"/>
        <w:rPr>
          <w:rFonts w:cs="Arial"/>
          <w:iCs/>
          <w:szCs w:val="22"/>
        </w:rPr>
      </w:pPr>
      <w:r w:rsidRPr="00541F62">
        <w:rPr>
          <w:rFonts w:cs="Arial"/>
          <w:iCs/>
          <w:szCs w:val="22"/>
        </w:rPr>
        <w:t xml:space="preserve">There are no HVAC interactive effects </w:t>
      </w:r>
      <w:r w:rsidR="005E3242" w:rsidRPr="00541F62">
        <w:rPr>
          <w:rFonts w:cs="Arial"/>
          <w:iCs/>
          <w:szCs w:val="22"/>
        </w:rPr>
        <w:t xml:space="preserve">with the store envelope </w:t>
      </w:r>
      <w:r w:rsidRPr="00541F62">
        <w:rPr>
          <w:rFonts w:cs="Arial"/>
          <w:iCs/>
          <w:szCs w:val="22"/>
        </w:rPr>
        <w:t>as all the heat load of the motors is contained within the refrigeration system</w:t>
      </w:r>
      <w:r w:rsidR="005E3242" w:rsidRPr="00541F62">
        <w:rPr>
          <w:rFonts w:cs="Arial"/>
          <w:iCs/>
          <w:szCs w:val="22"/>
        </w:rPr>
        <w:t xml:space="preserve"> and </w:t>
      </w:r>
      <w:r w:rsidR="00C04E16">
        <w:rPr>
          <w:rFonts w:cs="Arial"/>
          <w:iCs/>
          <w:szCs w:val="22"/>
        </w:rPr>
        <w:t xml:space="preserve">rejected through </w:t>
      </w:r>
      <w:r w:rsidR="005E3242" w:rsidRPr="00541F62">
        <w:rPr>
          <w:rFonts w:cs="Arial"/>
          <w:iCs/>
          <w:szCs w:val="22"/>
        </w:rPr>
        <w:t>the condensing units</w:t>
      </w:r>
      <w:r w:rsidR="00C04E16">
        <w:rPr>
          <w:rFonts w:cs="Arial"/>
          <w:iCs/>
          <w:szCs w:val="22"/>
        </w:rPr>
        <w:t>, which</w:t>
      </w:r>
      <w:r w:rsidR="005E3242" w:rsidRPr="00541F62">
        <w:rPr>
          <w:rFonts w:cs="Arial"/>
          <w:iCs/>
          <w:szCs w:val="22"/>
        </w:rPr>
        <w:t xml:space="preserve"> are outside</w:t>
      </w:r>
      <w:r w:rsidRPr="00541F62">
        <w:rPr>
          <w:rFonts w:cs="Arial"/>
          <w:iCs/>
          <w:szCs w:val="22"/>
        </w:rPr>
        <w:t>.</w:t>
      </w:r>
    </w:p>
    <w:p w14:paraId="56D5AEB7" w14:textId="77777777" w:rsidR="006B6C44" w:rsidRPr="00541F62" w:rsidRDefault="006B6C44" w:rsidP="00B845D5">
      <w:pPr>
        <w:rPr>
          <w:rFonts w:cs="Arial"/>
          <w:iCs/>
          <w:szCs w:val="22"/>
        </w:rPr>
      </w:pPr>
    </w:p>
    <w:p w14:paraId="701F04EC" w14:textId="403F36F8" w:rsidR="0033595B" w:rsidRPr="00541F62" w:rsidRDefault="007F5121" w:rsidP="0025558A">
      <w:pPr>
        <w:jc w:val="both"/>
        <w:rPr>
          <w:rFonts w:cs="Arial"/>
          <w:iCs/>
          <w:szCs w:val="22"/>
        </w:rPr>
      </w:pPr>
      <w:r w:rsidRPr="00541F62">
        <w:rPr>
          <w:rFonts w:cs="Arial"/>
          <w:iCs/>
          <w:szCs w:val="22"/>
        </w:rPr>
        <w:t>Key Terms:</w:t>
      </w:r>
    </w:p>
    <w:p w14:paraId="710CCF16" w14:textId="50B4694B" w:rsidR="0033595B" w:rsidRPr="00541F62" w:rsidRDefault="007F5121" w:rsidP="0025558A">
      <w:pPr>
        <w:pStyle w:val="ListParagraph"/>
        <w:numPr>
          <w:ilvl w:val="0"/>
          <w:numId w:val="32"/>
        </w:numPr>
        <w:jc w:val="both"/>
        <w:rPr>
          <w:rFonts w:ascii="Arial" w:hAnsi="Arial" w:cs="Arial"/>
          <w:sz w:val="22"/>
          <w:szCs w:val="22"/>
        </w:rPr>
      </w:pPr>
      <w:r w:rsidRPr="00541F62">
        <w:rPr>
          <w:rFonts w:ascii="Arial" w:hAnsi="Arial" w:cs="Arial"/>
          <w:iCs/>
          <w:sz w:val="22"/>
          <w:szCs w:val="22"/>
        </w:rPr>
        <w:t>High efficiency permanent magnet synchronous motors (PMSM): measure that improves upon existing PMSM technology</w:t>
      </w:r>
    </w:p>
    <w:p w14:paraId="06C84BB8" w14:textId="432C40D3" w:rsidR="00534D65" w:rsidRPr="00541F62" w:rsidRDefault="007F5121" w:rsidP="0025558A">
      <w:pPr>
        <w:pStyle w:val="ListParagraph"/>
        <w:numPr>
          <w:ilvl w:val="0"/>
          <w:numId w:val="32"/>
        </w:numPr>
        <w:jc w:val="both"/>
        <w:rPr>
          <w:rFonts w:ascii="Arial" w:hAnsi="Arial" w:cs="Arial"/>
          <w:sz w:val="22"/>
          <w:szCs w:val="22"/>
        </w:rPr>
      </w:pPr>
      <w:r w:rsidRPr="00541F62">
        <w:rPr>
          <w:rFonts w:ascii="Arial" w:hAnsi="Arial" w:cs="Arial"/>
          <w:iCs/>
          <w:sz w:val="22"/>
          <w:szCs w:val="22"/>
        </w:rPr>
        <w:t>Electrically commutate</w:t>
      </w:r>
      <w:r w:rsidR="00645E69">
        <w:rPr>
          <w:rFonts w:ascii="Arial" w:hAnsi="Arial" w:cs="Arial"/>
          <w:iCs/>
          <w:sz w:val="22"/>
          <w:szCs w:val="22"/>
        </w:rPr>
        <w:t>d</w:t>
      </w:r>
      <w:r w:rsidRPr="00541F62">
        <w:rPr>
          <w:rFonts w:ascii="Arial" w:hAnsi="Arial" w:cs="Arial"/>
          <w:iCs/>
          <w:sz w:val="22"/>
          <w:szCs w:val="22"/>
        </w:rPr>
        <w:t xml:space="preserve"> </w:t>
      </w:r>
      <w:r w:rsidR="006D6E97">
        <w:rPr>
          <w:rFonts w:ascii="Arial" w:hAnsi="Arial" w:cs="Arial"/>
          <w:iCs/>
          <w:sz w:val="22"/>
          <w:szCs w:val="22"/>
        </w:rPr>
        <w:t xml:space="preserve">and shaded pole </w:t>
      </w:r>
      <w:r w:rsidRPr="00541F62">
        <w:rPr>
          <w:rFonts w:ascii="Arial" w:hAnsi="Arial" w:cs="Arial"/>
          <w:iCs/>
          <w:sz w:val="22"/>
          <w:szCs w:val="22"/>
        </w:rPr>
        <w:t>motor</w:t>
      </w:r>
      <w:r w:rsidR="006D6E97">
        <w:rPr>
          <w:rFonts w:ascii="Arial" w:hAnsi="Arial" w:cs="Arial"/>
          <w:iCs/>
          <w:sz w:val="22"/>
          <w:szCs w:val="22"/>
        </w:rPr>
        <w:t>s</w:t>
      </w:r>
      <w:r w:rsidRPr="00541F62">
        <w:rPr>
          <w:rFonts w:ascii="Arial" w:hAnsi="Arial" w:cs="Arial"/>
          <w:iCs/>
          <w:sz w:val="22"/>
          <w:szCs w:val="22"/>
        </w:rPr>
        <w:t>: baseline technology</w:t>
      </w:r>
    </w:p>
    <w:p w14:paraId="5432F5DC" w14:textId="60102032" w:rsidR="007F5121" w:rsidRPr="00541F62" w:rsidRDefault="007F5121" w:rsidP="0025558A">
      <w:pPr>
        <w:pStyle w:val="ListParagraph"/>
        <w:numPr>
          <w:ilvl w:val="0"/>
          <w:numId w:val="32"/>
        </w:numPr>
        <w:jc w:val="both"/>
        <w:rPr>
          <w:rFonts w:ascii="Arial" w:hAnsi="Arial" w:cs="Arial"/>
          <w:sz w:val="22"/>
          <w:szCs w:val="22"/>
        </w:rPr>
      </w:pPr>
      <w:r w:rsidRPr="00541F62">
        <w:rPr>
          <w:rFonts w:ascii="Arial" w:hAnsi="Arial" w:cs="Arial"/>
          <w:iCs/>
          <w:sz w:val="22"/>
          <w:szCs w:val="22"/>
        </w:rPr>
        <w:t>Refrigerated case: reach-in low and mid temperature food cases (includes freezers)</w:t>
      </w:r>
    </w:p>
    <w:p w14:paraId="0D079D20" w14:textId="77777777" w:rsidR="00533BD0" w:rsidRPr="008E3621" w:rsidRDefault="00533BD0" w:rsidP="00F27D7E">
      <w:pPr>
        <w:pStyle w:val="Heading1-Abstract"/>
        <w:shd w:val="clear" w:color="auto" w:fill="B8CCE4" w:themeFill="accent1" w:themeFillTint="66"/>
      </w:pPr>
      <w:r w:rsidRPr="008E3621">
        <w:t xml:space="preserve">Program </w:t>
      </w:r>
      <w:r w:rsidR="00B845D5" w:rsidRPr="008E3621">
        <w:t>Implementation</w:t>
      </w:r>
      <w:r w:rsidRPr="008E3621">
        <w:t xml:space="preserve"> Method</w:t>
      </w:r>
    </w:p>
    <w:p w14:paraId="1DAE7647" w14:textId="4E59E35F" w:rsidR="00127EED" w:rsidRPr="00541F62" w:rsidRDefault="0003012D" w:rsidP="0025558A">
      <w:pPr>
        <w:jc w:val="both"/>
        <w:rPr>
          <w:rFonts w:cs="Arial"/>
          <w:szCs w:val="22"/>
        </w:rPr>
      </w:pPr>
      <w:r>
        <w:rPr>
          <w:rFonts w:cs="Arial"/>
          <w:szCs w:val="22"/>
        </w:rPr>
        <w:t>The proposed</w:t>
      </w:r>
      <w:r w:rsidR="00127EED" w:rsidRPr="00541F62">
        <w:rPr>
          <w:rFonts w:cs="Arial"/>
          <w:szCs w:val="22"/>
        </w:rPr>
        <w:t xml:space="preserve"> program is a</w:t>
      </w:r>
      <w:r w:rsidR="00107589">
        <w:rPr>
          <w:rFonts w:cs="Arial"/>
          <w:szCs w:val="22"/>
        </w:rPr>
        <w:t>n upstream or</w:t>
      </w:r>
      <w:r w:rsidR="00127EED" w:rsidRPr="00541F62">
        <w:rPr>
          <w:rFonts w:cs="Arial"/>
          <w:szCs w:val="22"/>
        </w:rPr>
        <w:t xml:space="preserve"> downstream deemed rebate </w:t>
      </w:r>
      <w:r w:rsidR="00022892">
        <w:rPr>
          <w:rFonts w:cs="Arial"/>
          <w:szCs w:val="22"/>
        </w:rPr>
        <w:t xml:space="preserve">and a </w:t>
      </w:r>
      <w:r w:rsidR="00CB5C02">
        <w:rPr>
          <w:rFonts w:cs="Arial"/>
          <w:szCs w:val="22"/>
        </w:rPr>
        <w:t>d</w:t>
      </w:r>
      <w:r w:rsidR="00022892">
        <w:rPr>
          <w:rFonts w:cs="Arial"/>
          <w:szCs w:val="22"/>
        </w:rPr>
        <w:t xml:space="preserve">irect </w:t>
      </w:r>
      <w:r w:rsidR="00CB5C02">
        <w:rPr>
          <w:rFonts w:cs="Arial"/>
          <w:szCs w:val="22"/>
        </w:rPr>
        <w:t>i</w:t>
      </w:r>
      <w:r w:rsidR="00022892">
        <w:rPr>
          <w:rFonts w:cs="Arial"/>
          <w:szCs w:val="22"/>
        </w:rPr>
        <w:t xml:space="preserve">nstall program </w:t>
      </w:r>
      <w:r w:rsidR="00127EED" w:rsidRPr="00541F62">
        <w:rPr>
          <w:rFonts w:cs="Arial"/>
          <w:szCs w:val="22"/>
        </w:rPr>
        <w:t xml:space="preserve">for </w:t>
      </w:r>
      <w:r w:rsidR="00CB5C02">
        <w:rPr>
          <w:rFonts w:cs="Arial"/>
          <w:szCs w:val="22"/>
        </w:rPr>
        <w:t xml:space="preserve">replace on burnout and </w:t>
      </w:r>
      <w:r w:rsidR="00127EED" w:rsidRPr="00541F62">
        <w:rPr>
          <w:rFonts w:cs="Arial"/>
          <w:szCs w:val="22"/>
        </w:rPr>
        <w:t>early retirement of existing food retailer case fan</w:t>
      </w:r>
      <w:r w:rsidR="00CB5C02">
        <w:rPr>
          <w:rFonts w:cs="Arial"/>
          <w:szCs w:val="22"/>
        </w:rPr>
        <w:t xml:space="preserve"> assemblies</w:t>
      </w:r>
      <w:r w:rsidR="00127EED" w:rsidRPr="00541F62">
        <w:rPr>
          <w:rFonts w:cs="Arial"/>
          <w:szCs w:val="22"/>
        </w:rPr>
        <w:t xml:space="preserve">. </w:t>
      </w:r>
    </w:p>
    <w:p w14:paraId="7AC5775A" w14:textId="77777777" w:rsidR="00127EED" w:rsidRPr="00541F62" w:rsidRDefault="00127EED" w:rsidP="0025558A">
      <w:pPr>
        <w:jc w:val="both"/>
        <w:rPr>
          <w:rFonts w:cs="Arial"/>
          <w:szCs w:val="22"/>
        </w:rPr>
      </w:pPr>
    </w:p>
    <w:p w14:paraId="57CB7382" w14:textId="325A0380" w:rsidR="00127EED" w:rsidRPr="00541F62" w:rsidRDefault="0064307D" w:rsidP="0025558A">
      <w:pPr>
        <w:jc w:val="both"/>
        <w:rPr>
          <w:rFonts w:cs="Arial"/>
          <w:szCs w:val="22"/>
        </w:rPr>
      </w:pPr>
      <w:r>
        <w:rPr>
          <w:rFonts w:cs="Arial"/>
          <w:szCs w:val="22"/>
        </w:rPr>
        <w:t>The program goal would be to</w:t>
      </w:r>
      <w:r w:rsidR="00127EED" w:rsidRPr="00541F62">
        <w:rPr>
          <w:rFonts w:cs="Arial"/>
          <w:szCs w:val="22"/>
        </w:rPr>
        <w:t xml:space="preserve"> </w:t>
      </w:r>
      <w:r>
        <w:rPr>
          <w:rFonts w:cs="Arial"/>
          <w:szCs w:val="22"/>
        </w:rPr>
        <w:t>achieve</w:t>
      </w:r>
      <w:r w:rsidR="00127EED" w:rsidRPr="00541F62">
        <w:rPr>
          <w:rFonts w:cs="Arial"/>
          <w:szCs w:val="22"/>
        </w:rPr>
        <w:t xml:space="preserve"> early retirement of ex</w:t>
      </w:r>
      <w:r w:rsidR="00BF283D" w:rsidRPr="00541F62">
        <w:rPr>
          <w:rFonts w:cs="Arial"/>
          <w:szCs w:val="22"/>
        </w:rPr>
        <w:t>isting fan populations</w:t>
      </w:r>
      <w:r w:rsidR="00305310">
        <w:rPr>
          <w:rFonts w:cs="Arial"/>
          <w:szCs w:val="22"/>
        </w:rPr>
        <w:t xml:space="preserve">, </w:t>
      </w:r>
      <w:r>
        <w:rPr>
          <w:rFonts w:cs="Arial"/>
          <w:szCs w:val="22"/>
        </w:rPr>
        <w:t xml:space="preserve">make sure that replace on burnout do not re-install </w:t>
      </w:r>
      <w:r w:rsidR="00305310">
        <w:rPr>
          <w:rFonts w:cs="Arial"/>
          <w:szCs w:val="22"/>
        </w:rPr>
        <w:t xml:space="preserve">shaded pole or </w:t>
      </w:r>
      <w:r>
        <w:rPr>
          <w:rFonts w:cs="Arial"/>
          <w:szCs w:val="22"/>
        </w:rPr>
        <w:t>ECM</w:t>
      </w:r>
      <w:r w:rsidR="008A3EBB">
        <w:rPr>
          <w:rFonts w:cs="Arial"/>
          <w:szCs w:val="22"/>
        </w:rPr>
        <w:t>s</w:t>
      </w:r>
      <w:r w:rsidR="00305310">
        <w:rPr>
          <w:rFonts w:cs="Arial"/>
          <w:szCs w:val="22"/>
        </w:rPr>
        <w:t>, and to incent stores to replace the entire fan base</w:t>
      </w:r>
      <w:r w:rsidR="00BF283D" w:rsidRPr="00541F62">
        <w:rPr>
          <w:rFonts w:cs="Arial"/>
          <w:szCs w:val="22"/>
        </w:rPr>
        <w:t>.</w:t>
      </w:r>
      <w:r w:rsidR="005E3242" w:rsidRPr="00541F62">
        <w:rPr>
          <w:rFonts w:cs="Arial"/>
          <w:szCs w:val="22"/>
        </w:rPr>
        <w:t xml:space="preserve"> Without </w:t>
      </w:r>
      <w:r w:rsidR="00541F62" w:rsidRPr="00541F62">
        <w:rPr>
          <w:rFonts w:cs="Arial"/>
          <w:szCs w:val="22"/>
        </w:rPr>
        <w:t xml:space="preserve">an </w:t>
      </w:r>
      <w:r w:rsidR="005E3242" w:rsidRPr="00541F62">
        <w:rPr>
          <w:rFonts w:cs="Arial"/>
          <w:szCs w:val="22"/>
        </w:rPr>
        <w:t xml:space="preserve">early retirement </w:t>
      </w:r>
      <w:r w:rsidR="00D72FA9">
        <w:rPr>
          <w:rFonts w:cs="Arial"/>
          <w:szCs w:val="22"/>
        </w:rPr>
        <w:t>o</w:t>
      </w:r>
      <w:r w:rsidR="007F5DF6">
        <w:rPr>
          <w:rFonts w:cs="Arial"/>
          <w:szCs w:val="22"/>
        </w:rPr>
        <w:t>r</w:t>
      </w:r>
      <w:r w:rsidR="00D72FA9">
        <w:rPr>
          <w:rFonts w:cs="Arial"/>
          <w:szCs w:val="22"/>
        </w:rPr>
        <w:t xml:space="preserve"> replace on burnout </w:t>
      </w:r>
      <w:r w:rsidR="005E3242" w:rsidRPr="00541F62">
        <w:rPr>
          <w:rFonts w:cs="Arial"/>
          <w:szCs w:val="22"/>
        </w:rPr>
        <w:t xml:space="preserve">utility </w:t>
      </w:r>
      <w:r w:rsidR="00247E01" w:rsidRPr="00541F62">
        <w:rPr>
          <w:rFonts w:cs="Arial"/>
          <w:szCs w:val="22"/>
        </w:rPr>
        <w:t>program,</w:t>
      </w:r>
      <w:r w:rsidR="00541F62" w:rsidRPr="00541F62">
        <w:rPr>
          <w:rFonts w:cs="Arial"/>
          <w:szCs w:val="22"/>
        </w:rPr>
        <w:t xml:space="preserve"> the refrigeration technic</w:t>
      </w:r>
      <w:r w:rsidR="005E3242" w:rsidRPr="00541F62">
        <w:rPr>
          <w:rFonts w:cs="Arial"/>
          <w:szCs w:val="22"/>
        </w:rPr>
        <w:t>ian would only replace the fan assembly when a motor fail</w:t>
      </w:r>
      <w:r w:rsidR="00541F62" w:rsidRPr="00541F62">
        <w:rPr>
          <w:rFonts w:cs="Arial"/>
          <w:szCs w:val="22"/>
        </w:rPr>
        <w:t>s</w:t>
      </w:r>
      <w:r w:rsidR="005E3242" w:rsidRPr="00541F62">
        <w:rPr>
          <w:rFonts w:cs="Arial"/>
          <w:szCs w:val="22"/>
        </w:rPr>
        <w:t xml:space="preserve"> and probably with the </w:t>
      </w:r>
      <w:r w:rsidR="007F5DF6">
        <w:rPr>
          <w:rFonts w:cs="Arial"/>
          <w:szCs w:val="22"/>
        </w:rPr>
        <w:t>standard</w:t>
      </w:r>
      <w:r w:rsidR="005E3242" w:rsidRPr="00541F62">
        <w:rPr>
          <w:rFonts w:cs="Arial"/>
          <w:szCs w:val="22"/>
        </w:rPr>
        <w:t xml:space="preserve"> ECM </w:t>
      </w:r>
      <w:r w:rsidR="00107589">
        <w:rPr>
          <w:rFonts w:cs="Arial"/>
          <w:szCs w:val="22"/>
        </w:rPr>
        <w:t xml:space="preserve">or shaded pole </w:t>
      </w:r>
      <w:r w:rsidR="005E3242" w:rsidRPr="00541F62">
        <w:rPr>
          <w:rFonts w:cs="Arial"/>
          <w:szCs w:val="22"/>
        </w:rPr>
        <w:t>technology rather than the proposed emerging technology.</w:t>
      </w:r>
      <w:r w:rsidR="007F5DF6">
        <w:rPr>
          <w:rFonts w:cs="Arial"/>
          <w:szCs w:val="22"/>
        </w:rPr>
        <w:t xml:space="preserve"> </w:t>
      </w:r>
      <w:r w:rsidR="00CB5C02">
        <w:rPr>
          <w:rFonts w:cs="Arial"/>
          <w:szCs w:val="22"/>
        </w:rPr>
        <w:t>That i</w:t>
      </w:r>
      <w:r w:rsidR="00DA2DAD">
        <w:rPr>
          <w:rFonts w:cs="Arial"/>
          <w:szCs w:val="22"/>
        </w:rPr>
        <w:t>s why it is propos</w:t>
      </w:r>
      <w:r w:rsidR="00CB5C02">
        <w:rPr>
          <w:rFonts w:cs="Arial"/>
          <w:szCs w:val="22"/>
        </w:rPr>
        <w:t>ed that even i</w:t>
      </w:r>
      <w:r w:rsidR="00DA2DAD">
        <w:rPr>
          <w:rFonts w:cs="Arial"/>
          <w:szCs w:val="22"/>
        </w:rPr>
        <w:t>f the proposed technology has a very small incremental cost compared to ECM, an incentive is needed to move the market.</w:t>
      </w:r>
    </w:p>
    <w:p w14:paraId="0BBEE58A" w14:textId="77777777" w:rsidR="00BF283D" w:rsidRPr="00541F62" w:rsidRDefault="00BF283D" w:rsidP="0025558A">
      <w:pPr>
        <w:jc w:val="both"/>
        <w:rPr>
          <w:rFonts w:cs="Arial"/>
          <w:szCs w:val="22"/>
        </w:rPr>
      </w:pPr>
    </w:p>
    <w:p w14:paraId="44E8D971" w14:textId="77777777" w:rsidR="00107589" w:rsidRDefault="00BF283D" w:rsidP="0025558A">
      <w:pPr>
        <w:jc w:val="both"/>
        <w:rPr>
          <w:rFonts w:cs="Arial"/>
          <w:szCs w:val="22"/>
        </w:rPr>
      </w:pPr>
      <w:r w:rsidRPr="00541F62">
        <w:rPr>
          <w:rFonts w:cs="Arial"/>
          <w:szCs w:val="22"/>
        </w:rPr>
        <w:t>Although the measure should be applicable at</w:t>
      </w:r>
      <w:r w:rsidR="00541F62" w:rsidRPr="00541F62">
        <w:rPr>
          <w:rFonts w:cs="Arial"/>
          <w:szCs w:val="22"/>
        </w:rPr>
        <w:t xml:space="preserve"> any refrigerated case with standard fan sizes</w:t>
      </w:r>
      <w:r w:rsidRPr="00541F62">
        <w:rPr>
          <w:rFonts w:cs="Arial"/>
          <w:szCs w:val="22"/>
        </w:rPr>
        <w:t>, supermarkets account for about 80% of the baseline fan energy consumption</w:t>
      </w:r>
      <w:r w:rsidR="0032236F">
        <w:rPr>
          <w:rFonts w:cs="Arial"/>
          <w:szCs w:val="22"/>
        </w:rPr>
        <w:t xml:space="preserve"> in California</w:t>
      </w:r>
      <w:r w:rsidRPr="00541F62">
        <w:rPr>
          <w:rFonts w:cs="Arial"/>
          <w:szCs w:val="22"/>
        </w:rPr>
        <w:t xml:space="preserve"> and </w:t>
      </w:r>
      <w:r w:rsidR="00107589">
        <w:rPr>
          <w:rFonts w:cs="Arial"/>
          <w:szCs w:val="22"/>
        </w:rPr>
        <w:t>c</w:t>
      </w:r>
      <w:r w:rsidR="007F5DF6">
        <w:rPr>
          <w:rFonts w:cs="Arial"/>
          <w:szCs w:val="22"/>
        </w:rPr>
        <w:t>ould</w:t>
      </w:r>
      <w:r w:rsidR="007F5DF6" w:rsidRPr="00541F62">
        <w:rPr>
          <w:rFonts w:cs="Arial"/>
          <w:szCs w:val="22"/>
        </w:rPr>
        <w:t xml:space="preserve"> </w:t>
      </w:r>
      <w:r w:rsidRPr="00541F62">
        <w:rPr>
          <w:rFonts w:cs="Arial"/>
          <w:szCs w:val="22"/>
        </w:rPr>
        <w:t xml:space="preserve">be specifically targeted for improved program success and market transformation. </w:t>
      </w:r>
      <w:r w:rsidR="00107589">
        <w:rPr>
          <w:rFonts w:cs="Arial"/>
          <w:szCs w:val="22"/>
        </w:rPr>
        <w:t xml:space="preserve">The rebate should be made available to any application, but supermarkets and grocery stores should be specifically targeted and offered direct install. </w:t>
      </w:r>
    </w:p>
    <w:p w14:paraId="49E63A68" w14:textId="77777777" w:rsidR="00107589" w:rsidRDefault="00107589" w:rsidP="0025558A">
      <w:pPr>
        <w:jc w:val="both"/>
        <w:rPr>
          <w:rFonts w:cs="Arial"/>
          <w:szCs w:val="22"/>
        </w:rPr>
      </w:pPr>
    </w:p>
    <w:p w14:paraId="3016B202" w14:textId="63A32EA4" w:rsidR="00CB5C02" w:rsidRDefault="00BF283D" w:rsidP="0025558A">
      <w:pPr>
        <w:jc w:val="both"/>
        <w:rPr>
          <w:rFonts w:cs="Arial"/>
          <w:szCs w:val="22"/>
        </w:rPr>
      </w:pPr>
      <w:r w:rsidRPr="00541F62">
        <w:rPr>
          <w:rFonts w:cs="Arial"/>
          <w:szCs w:val="22"/>
        </w:rPr>
        <w:t xml:space="preserve">Since there are no interactive effects </w:t>
      </w:r>
      <w:r w:rsidR="00F26234">
        <w:rPr>
          <w:rFonts w:cs="Arial"/>
          <w:szCs w:val="22"/>
        </w:rPr>
        <w:t xml:space="preserve">related to the evaporator fan motor assembly replacement </w:t>
      </w:r>
      <w:r w:rsidRPr="00541F62">
        <w:rPr>
          <w:rFonts w:cs="Arial"/>
          <w:szCs w:val="22"/>
        </w:rPr>
        <w:t xml:space="preserve">and refrigerated case systems do not significantly vary across all statewide conditions, the program and measure implementation </w:t>
      </w:r>
      <w:r w:rsidR="00D52918">
        <w:rPr>
          <w:rFonts w:cs="Arial"/>
          <w:szCs w:val="22"/>
        </w:rPr>
        <w:t>is fairly</w:t>
      </w:r>
      <w:r w:rsidRPr="00541F62">
        <w:rPr>
          <w:rFonts w:cs="Arial"/>
          <w:szCs w:val="22"/>
        </w:rPr>
        <w:t xml:space="preserve"> consistent across all </w:t>
      </w:r>
      <w:r w:rsidR="00F26234">
        <w:rPr>
          <w:rFonts w:cs="Arial"/>
          <w:szCs w:val="22"/>
        </w:rPr>
        <w:t>climate zones</w:t>
      </w:r>
      <w:r w:rsidRPr="00541F62">
        <w:rPr>
          <w:rFonts w:cs="Arial"/>
          <w:szCs w:val="22"/>
        </w:rPr>
        <w:t>.</w:t>
      </w:r>
      <w:r w:rsidR="00F26234">
        <w:rPr>
          <w:rFonts w:cs="Arial"/>
          <w:szCs w:val="22"/>
        </w:rPr>
        <w:t xml:space="preserve"> </w:t>
      </w:r>
      <w:r w:rsidR="00D72FA9">
        <w:rPr>
          <w:rFonts w:cs="Arial"/>
          <w:szCs w:val="22"/>
        </w:rPr>
        <w:t xml:space="preserve">The savings </w:t>
      </w:r>
      <w:r w:rsidR="00D72FA9">
        <w:rPr>
          <w:rFonts w:cs="Arial"/>
          <w:szCs w:val="22"/>
        </w:rPr>
        <w:lastRenderedPageBreak/>
        <w:t xml:space="preserve">due to </w:t>
      </w:r>
      <w:r w:rsidR="00107589">
        <w:rPr>
          <w:rFonts w:cs="Arial"/>
          <w:szCs w:val="22"/>
        </w:rPr>
        <w:t>the refrigeration cycle are less than</w:t>
      </w:r>
      <w:r w:rsidR="00D72FA9">
        <w:rPr>
          <w:rFonts w:cs="Arial"/>
          <w:szCs w:val="22"/>
        </w:rPr>
        <w:t xml:space="preserve"> 30% of the total</w:t>
      </w:r>
      <w:r w:rsidR="00683BAB">
        <w:rPr>
          <w:rFonts w:cs="Arial"/>
          <w:szCs w:val="22"/>
        </w:rPr>
        <w:t xml:space="preserve"> savings related to the measure</w:t>
      </w:r>
      <w:r w:rsidR="00D72FA9">
        <w:rPr>
          <w:rFonts w:cs="Arial"/>
          <w:szCs w:val="22"/>
        </w:rPr>
        <w:t xml:space="preserve"> and the efficiency differences among different climate zones would be a fraction of that, thus to</w:t>
      </w:r>
      <w:r w:rsidR="00CB5C02">
        <w:rPr>
          <w:rFonts w:cs="Arial"/>
          <w:szCs w:val="22"/>
        </w:rPr>
        <w:t>o</w:t>
      </w:r>
      <w:r w:rsidR="00D72FA9">
        <w:rPr>
          <w:rFonts w:cs="Arial"/>
          <w:szCs w:val="22"/>
        </w:rPr>
        <w:t xml:space="preserve"> small in the overall savings to warrant an individualized climate zone approach. </w:t>
      </w:r>
      <w:r w:rsidR="00F26234">
        <w:rPr>
          <w:rFonts w:cs="Arial"/>
          <w:szCs w:val="22"/>
        </w:rPr>
        <w:t>A detailed analysis could be done to validate this assumption.</w:t>
      </w:r>
      <w:r w:rsidR="009A00A4" w:rsidRPr="009A00A4">
        <w:rPr>
          <w:rFonts w:cs="Arial"/>
          <w:szCs w:val="22"/>
        </w:rPr>
        <w:t xml:space="preserve"> </w:t>
      </w:r>
    </w:p>
    <w:p w14:paraId="205B7316" w14:textId="77777777" w:rsidR="00107589" w:rsidRDefault="00107589" w:rsidP="0025558A">
      <w:pPr>
        <w:jc w:val="both"/>
        <w:rPr>
          <w:rFonts w:cs="Arial"/>
          <w:szCs w:val="22"/>
        </w:rPr>
      </w:pPr>
    </w:p>
    <w:p w14:paraId="17515646" w14:textId="12DC44B6" w:rsidR="00BF283D" w:rsidRPr="00541F62" w:rsidRDefault="009A00A4" w:rsidP="0025558A">
      <w:pPr>
        <w:jc w:val="both"/>
        <w:rPr>
          <w:rFonts w:cs="Arial"/>
          <w:szCs w:val="22"/>
        </w:rPr>
      </w:pPr>
      <w:r>
        <w:rPr>
          <w:rFonts w:cs="Arial"/>
          <w:szCs w:val="22"/>
        </w:rPr>
        <w:t xml:space="preserve">The site where the test was conducted had a </w:t>
      </w:r>
      <w:r w:rsidRPr="00541F62">
        <w:rPr>
          <w:rFonts w:cs="Arial"/>
          <w:szCs w:val="22"/>
        </w:rPr>
        <w:t>COP</w:t>
      </w:r>
      <w:r>
        <w:rPr>
          <w:rFonts w:cs="Arial"/>
          <w:szCs w:val="22"/>
        </w:rPr>
        <w:t xml:space="preserve"> of 3.</w:t>
      </w:r>
      <w:r w:rsidR="0032236F">
        <w:rPr>
          <w:rFonts w:cs="Arial"/>
          <w:szCs w:val="22"/>
        </w:rPr>
        <w:t>5</w:t>
      </w:r>
      <w:r>
        <w:rPr>
          <w:rFonts w:cs="Arial"/>
          <w:szCs w:val="22"/>
        </w:rPr>
        <w:t xml:space="preserve"> for the mid temp and 1.8 for low temp refrigerated cases. Other standardized values could be used in developing the savings, b</w:t>
      </w:r>
      <w:r w:rsidR="00CB5C02">
        <w:rPr>
          <w:rFonts w:cs="Arial"/>
          <w:szCs w:val="22"/>
        </w:rPr>
        <w:t>ut the mentioned ones seem to be</w:t>
      </w:r>
      <w:r>
        <w:rPr>
          <w:rFonts w:cs="Arial"/>
          <w:szCs w:val="22"/>
        </w:rPr>
        <w:t xml:space="preserve"> in line with many other average applications.</w:t>
      </w:r>
      <w:r w:rsidRPr="00541F62">
        <w:rPr>
          <w:rFonts w:cs="Arial"/>
          <w:szCs w:val="22"/>
        </w:rPr>
        <w:t xml:space="preserve"> </w:t>
      </w:r>
      <w:r>
        <w:rPr>
          <w:rFonts w:cs="Arial"/>
          <w:szCs w:val="22"/>
        </w:rPr>
        <w:t>A</w:t>
      </w:r>
      <w:r w:rsidRPr="00541F62">
        <w:rPr>
          <w:rFonts w:cs="Arial"/>
          <w:szCs w:val="22"/>
        </w:rPr>
        <w:t>ny potential variation between sites and cases</w:t>
      </w:r>
      <w:r w:rsidR="00DA2DAD">
        <w:rPr>
          <w:rFonts w:cs="Arial"/>
          <w:szCs w:val="22"/>
        </w:rPr>
        <w:t xml:space="preserve"> </w:t>
      </w:r>
      <w:r w:rsidRPr="00541F62">
        <w:rPr>
          <w:rFonts w:cs="Arial"/>
          <w:szCs w:val="22"/>
        </w:rPr>
        <w:t>is outweighed by the consistency of savings and poor returns of a more rigorous program design that includes tiered offerings or rebates that depend on largely inconsequential site variables</w:t>
      </w:r>
      <w:r w:rsidR="00DA2DAD">
        <w:rPr>
          <w:rFonts w:cs="Arial"/>
          <w:szCs w:val="22"/>
        </w:rPr>
        <w:t xml:space="preserve"> (single stage, multistage, floating head pressure, sub cooling, air cooled or water cooled condenser</w:t>
      </w:r>
      <w:r w:rsidR="00107589">
        <w:rPr>
          <w:rFonts w:cs="Arial"/>
          <w:szCs w:val="22"/>
        </w:rPr>
        <w:t>, etc.</w:t>
      </w:r>
      <w:r w:rsidR="00DA2DAD">
        <w:rPr>
          <w:rFonts w:cs="Arial"/>
          <w:szCs w:val="22"/>
        </w:rPr>
        <w:t>)</w:t>
      </w:r>
      <w:r w:rsidRPr="00541F62">
        <w:rPr>
          <w:rFonts w:cs="Arial"/>
          <w:szCs w:val="22"/>
        </w:rPr>
        <w:t>.</w:t>
      </w:r>
      <w:r w:rsidR="00CB5C02">
        <w:rPr>
          <w:rFonts w:cs="Arial"/>
          <w:szCs w:val="22"/>
        </w:rPr>
        <w:t xml:space="preserve"> Because there is expected</w:t>
      </w:r>
      <w:r>
        <w:rPr>
          <w:rFonts w:cs="Arial"/>
          <w:szCs w:val="22"/>
        </w:rPr>
        <w:t xml:space="preserve"> consis</w:t>
      </w:r>
      <w:r w:rsidR="00CB5C02">
        <w:rPr>
          <w:rFonts w:cs="Arial"/>
          <w:szCs w:val="22"/>
        </w:rPr>
        <w:t>tency among grocery stores regarding</w:t>
      </w:r>
      <w:r>
        <w:rPr>
          <w:rFonts w:cs="Arial"/>
          <w:szCs w:val="22"/>
        </w:rPr>
        <w:t xml:space="preserve"> the number of mid tem versus low temp</w:t>
      </w:r>
      <w:r w:rsidR="008A3EBB">
        <w:rPr>
          <w:rFonts w:cs="Arial"/>
          <w:szCs w:val="22"/>
        </w:rPr>
        <w:t xml:space="preserve"> (approximately 5</w:t>
      </w:r>
      <w:r w:rsidR="0032236F">
        <w:rPr>
          <w:rFonts w:cs="Arial"/>
          <w:szCs w:val="22"/>
        </w:rPr>
        <w:t>7</w:t>
      </w:r>
      <w:r w:rsidR="008A3EBB">
        <w:rPr>
          <w:rFonts w:cs="Arial"/>
          <w:szCs w:val="22"/>
        </w:rPr>
        <w:t>% vs 4</w:t>
      </w:r>
      <w:r w:rsidR="0032236F">
        <w:rPr>
          <w:rFonts w:cs="Arial"/>
          <w:szCs w:val="22"/>
        </w:rPr>
        <w:t>3</w:t>
      </w:r>
      <w:r w:rsidR="008A3EBB">
        <w:rPr>
          <w:rFonts w:cs="Arial"/>
          <w:szCs w:val="22"/>
        </w:rPr>
        <w:t>%)</w:t>
      </w:r>
      <w:r>
        <w:rPr>
          <w:rFonts w:cs="Arial"/>
          <w:szCs w:val="22"/>
        </w:rPr>
        <w:t xml:space="preserve">, we suggest a </w:t>
      </w:r>
      <w:r w:rsidR="00CB5C02">
        <w:rPr>
          <w:rFonts w:cs="Arial"/>
          <w:szCs w:val="22"/>
        </w:rPr>
        <w:t xml:space="preserve">proportional </w:t>
      </w:r>
      <w:r>
        <w:rPr>
          <w:rFonts w:cs="Arial"/>
          <w:szCs w:val="22"/>
        </w:rPr>
        <w:t>blended savings between the two categories</w:t>
      </w:r>
      <w:r w:rsidR="00CB5C02">
        <w:rPr>
          <w:rFonts w:cs="Arial"/>
          <w:szCs w:val="22"/>
        </w:rPr>
        <w:t>.</w:t>
      </w:r>
      <w:r>
        <w:rPr>
          <w:rFonts w:cs="Arial"/>
          <w:szCs w:val="22"/>
        </w:rPr>
        <w:t xml:space="preserve"> </w:t>
      </w:r>
    </w:p>
    <w:p w14:paraId="72157C81" w14:textId="77777777" w:rsidR="00BF283D" w:rsidRPr="00541F62" w:rsidRDefault="00BF283D" w:rsidP="00D767BD">
      <w:pPr>
        <w:rPr>
          <w:rFonts w:cs="Arial"/>
          <w:szCs w:val="22"/>
        </w:rPr>
      </w:pPr>
    </w:p>
    <w:p w14:paraId="4C6A4224" w14:textId="103F73B2" w:rsidR="00534D65" w:rsidRDefault="00BF283D" w:rsidP="0025558A">
      <w:pPr>
        <w:jc w:val="both"/>
        <w:rPr>
          <w:rFonts w:cs="Arial"/>
          <w:szCs w:val="22"/>
        </w:rPr>
      </w:pPr>
      <w:r w:rsidRPr="00541F62">
        <w:rPr>
          <w:rFonts w:cs="Arial"/>
          <w:szCs w:val="22"/>
        </w:rPr>
        <w:t xml:space="preserve">Aside from program evaluation reasons, no measurement of pre or post conditions would be required. The measure provides a nearly constant, dependable load reduction that lends itself well to a deemed, rebate program. The only unaccounted variables include differences in savings for </w:t>
      </w:r>
      <w:r w:rsidR="00C6335F" w:rsidRPr="00541F62">
        <w:rPr>
          <w:rFonts w:cs="Arial"/>
          <w:szCs w:val="22"/>
        </w:rPr>
        <w:t xml:space="preserve">the refrigeration COP among different systems </w:t>
      </w:r>
      <w:r w:rsidR="008A3EBB">
        <w:rPr>
          <w:rFonts w:cs="Arial"/>
          <w:szCs w:val="22"/>
        </w:rPr>
        <w:t>that as explained above are minimal compared to the whole measure</w:t>
      </w:r>
      <w:r w:rsidRPr="00541F62">
        <w:rPr>
          <w:rFonts w:cs="Arial"/>
          <w:szCs w:val="22"/>
        </w:rPr>
        <w:t xml:space="preserve">. </w:t>
      </w:r>
    </w:p>
    <w:p w14:paraId="18D542AA" w14:textId="6D9C9BCA" w:rsidR="00CB5C02" w:rsidRDefault="00CB5C02" w:rsidP="0025558A">
      <w:pPr>
        <w:jc w:val="both"/>
        <w:rPr>
          <w:rFonts w:cs="Arial"/>
          <w:szCs w:val="22"/>
        </w:rPr>
      </w:pPr>
    </w:p>
    <w:p w14:paraId="411C169F" w14:textId="20EFAF1D" w:rsidR="00CB5C02" w:rsidRPr="00541F62" w:rsidRDefault="00CB5C02" w:rsidP="0025558A">
      <w:pPr>
        <w:jc w:val="both"/>
        <w:rPr>
          <w:rFonts w:cs="Arial"/>
          <w:szCs w:val="22"/>
        </w:rPr>
      </w:pPr>
      <w:r>
        <w:rPr>
          <w:rFonts w:cs="Arial"/>
          <w:szCs w:val="22"/>
        </w:rPr>
        <w:t>One possibility to improve program design and understanding would be to collect data on the ratios of low and mid temp cases and existing motor types during implementation. Although a single, blended savings value is recommended, these data could be collected to improve savings estimates and validate the workpaper assumptions. If the collected data suggest that the mid and low temp ratios or baseline type need adjustment after 1 year, the workpaper and deemed values can be revised.</w:t>
      </w:r>
    </w:p>
    <w:p w14:paraId="53099998" w14:textId="77777777" w:rsidR="00E7604D" w:rsidRPr="008E3621" w:rsidRDefault="00E7604D" w:rsidP="00F27D7E">
      <w:pPr>
        <w:pStyle w:val="Heading1-Abstract"/>
        <w:shd w:val="clear" w:color="auto" w:fill="B8CCE4" w:themeFill="accent1" w:themeFillTint="66"/>
      </w:pPr>
      <w:r w:rsidRPr="008E3621">
        <w:t>Mixed Baseline</w:t>
      </w:r>
    </w:p>
    <w:p w14:paraId="2EA61757" w14:textId="77777777" w:rsidR="00107589" w:rsidRDefault="00BF283D" w:rsidP="0025558A">
      <w:pPr>
        <w:jc w:val="both"/>
        <w:rPr>
          <w:rFonts w:cs="Arial"/>
        </w:rPr>
      </w:pPr>
      <w:r w:rsidRPr="00541F62">
        <w:rPr>
          <w:rFonts w:cs="Arial"/>
        </w:rPr>
        <w:t>The emerging technolog</w:t>
      </w:r>
      <w:r w:rsidR="0003012D">
        <w:rPr>
          <w:rFonts w:cs="Arial"/>
        </w:rPr>
        <w:t>y</w:t>
      </w:r>
      <w:r w:rsidR="0025558A">
        <w:rPr>
          <w:rFonts w:cs="Arial"/>
        </w:rPr>
        <w:t xml:space="preserve"> study</w:t>
      </w:r>
      <w:r w:rsidR="0003012D">
        <w:rPr>
          <w:rFonts w:cs="Arial"/>
        </w:rPr>
        <w:t xml:space="preserve">, recently </w:t>
      </w:r>
      <w:r w:rsidR="0025558A">
        <w:rPr>
          <w:rFonts w:cs="Arial"/>
        </w:rPr>
        <w:t xml:space="preserve">performed </w:t>
      </w:r>
      <w:r w:rsidR="0003012D">
        <w:rPr>
          <w:rFonts w:cs="Arial"/>
        </w:rPr>
        <w:t>at a San Diego grocery store</w:t>
      </w:r>
      <w:r w:rsidR="0025558A">
        <w:rPr>
          <w:rFonts w:cs="Arial"/>
        </w:rPr>
        <w:t xml:space="preserve"> evaluated the replacement of 173 fan motor assemblies and 92% of the replaced fans were driven by ECM motors, while the remaining 8% by shaded pole motors.</w:t>
      </w:r>
      <w:r w:rsidR="00F45932">
        <w:rPr>
          <w:rFonts w:cs="Arial"/>
        </w:rPr>
        <w:t xml:space="preserve"> A September 2015</w:t>
      </w:r>
      <w:r w:rsidRPr="00541F62">
        <w:rPr>
          <w:rFonts w:cs="Arial"/>
        </w:rPr>
        <w:t xml:space="preserve"> report by Oak Ridge National Labs claimed that supermarkets have about 65% shaded pole and 35% ECMs</w:t>
      </w:r>
      <w:r w:rsidR="00541F62" w:rsidRPr="00541F62">
        <w:rPr>
          <w:rFonts w:cs="Arial"/>
        </w:rPr>
        <w:t xml:space="preserve"> but cited no sources beyond industry partners and experience</w:t>
      </w:r>
      <w:r w:rsidR="00565798" w:rsidRPr="00541F62">
        <w:rPr>
          <w:rFonts w:cs="Arial"/>
        </w:rPr>
        <w:t xml:space="preserve">. </w:t>
      </w:r>
      <w:r w:rsidR="00107589">
        <w:rPr>
          <w:rFonts w:cs="Arial"/>
        </w:rPr>
        <w:t>As a result, it is</w:t>
      </w:r>
      <w:r w:rsidR="00F45932">
        <w:rPr>
          <w:rFonts w:cs="Arial"/>
        </w:rPr>
        <w:t xml:space="preserve"> </w:t>
      </w:r>
      <w:r w:rsidR="00107589">
        <w:rPr>
          <w:rFonts w:cs="Arial"/>
        </w:rPr>
        <w:t>initially assumed that</w:t>
      </w:r>
      <w:r w:rsidR="00565798" w:rsidRPr="00541F62">
        <w:rPr>
          <w:rFonts w:cs="Arial"/>
        </w:rPr>
        <w:t xml:space="preserve"> </w:t>
      </w:r>
      <w:r w:rsidR="00F45932">
        <w:rPr>
          <w:rFonts w:cs="Arial"/>
        </w:rPr>
        <w:t xml:space="preserve">this </w:t>
      </w:r>
      <w:r w:rsidR="00565798" w:rsidRPr="00541F62">
        <w:rPr>
          <w:rFonts w:cs="Arial"/>
        </w:rPr>
        <w:t>workpaper will take the conservative view that ECMs are ISP in California</w:t>
      </w:r>
      <w:r w:rsidR="0003012D">
        <w:rPr>
          <w:rFonts w:cs="Arial"/>
        </w:rPr>
        <w:t xml:space="preserve"> consistent with the Title 24 (Section120.6 (b)</w:t>
      </w:r>
      <w:r w:rsidR="006502D2">
        <w:rPr>
          <w:rFonts w:cs="Arial"/>
        </w:rPr>
        <w:t xml:space="preserve"> that refers to </w:t>
      </w:r>
      <w:r w:rsidR="00F45932">
        <w:rPr>
          <w:rFonts w:cs="Arial"/>
        </w:rPr>
        <w:t xml:space="preserve">retail food stores with 8,000 sq. ft. of conditioned area and that utilized </w:t>
      </w:r>
      <w:r w:rsidR="006502D2">
        <w:rPr>
          <w:rFonts w:cs="Arial"/>
        </w:rPr>
        <w:t xml:space="preserve">refrigerated </w:t>
      </w:r>
      <w:r w:rsidR="00F45932">
        <w:rPr>
          <w:rFonts w:cs="Arial"/>
        </w:rPr>
        <w:t>display cases or freezers</w:t>
      </w:r>
      <w:r w:rsidR="00E46A15">
        <w:rPr>
          <w:rFonts w:cs="Arial"/>
        </w:rPr>
        <w:t>)</w:t>
      </w:r>
      <w:r w:rsidR="00565798" w:rsidRPr="00541F62">
        <w:rPr>
          <w:rFonts w:cs="Arial"/>
        </w:rPr>
        <w:t>. Therefore, the baseline is a single, consistent baseline of ECM incumbent fan assemblies.</w:t>
      </w:r>
      <w:r w:rsidR="000746FC">
        <w:rPr>
          <w:rFonts w:cs="Arial"/>
        </w:rPr>
        <w:t xml:space="preserve"> </w:t>
      </w:r>
    </w:p>
    <w:p w14:paraId="32F69475" w14:textId="77777777" w:rsidR="00107589" w:rsidRDefault="00107589" w:rsidP="0025558A">
      <w:pPr>
        <w:jc w:val="both"/>
        <w:rPr>
          <w:rFonts w:cs="Arial"/>
        </w:rPr>
      </w:pPr>
    </w:p>
    <w:p w14:paraId="3C03DEE5" w14:textId="42451B85" w:rsidR="00565798" w:rsidRPr="00541F62" w:rsidRDefault="00053957" w:rsidP="0025558A">
      <w:pPr>
        <w:jc w:val="both"/>
        <w:rPr>
          <w:rFonts w:cs="Arial"/>
        </w:rPr>
      </w:pPr>
      <w:r>
        <w:rPr>
          <w:rFonts w:cs="Arial"/>
        </w:rPr>
        <w:t xml:space="preserve">However if during the first year of program implementation utilities realized through information collection in the field that a sizable percentage is shaded pole motors the savings should be recalculated based on the ECM </w:t>
      </w:r>
      <w:r w:rsidR="00305310">
        <w:rPr>
          <w:rFonts w:cs="Arial"/>
        </w:rPr>
        <w:t>shaded pole mix found in the fi</w:t>
      </w:r>
      <w:r>
        <w:rPr>
          <w:rFonts w:cs="Arial"/>
        </w:rPr>
        <w:t>e</w:t>
      </w:r>
      <w:r w:rsidR="00305310">
        <w:rPr>
          <w:rFonts w:cs="Arial"/>
        </w:rPr>
        <w:t>l</w:t>
      </w:r>
      <w:r>
        <w:rPr>
          <w:rFonts w:cs="Arial"/>
        </w:rPr>
        <w:t>d.</w:t>
      </w:r>
      <w:r w:rsidR="00305310">
        <w:rPr>
          <w:rFonts w:cs="Arial"/>
        </w:rPr>
        <w:t xml:space="preserve"> An alternative to this approach would be to first assume an ECM/shaded pole mix for this workpaper.</w:t>
      </w:r>
    </w:p>
    <w:p w14:paraId="5BA52776" w14:textId="77777777" w:rsidR="00F45932" w:rsidRDefault="00F45932" w:rsidP="0025558A">
      <w:pPr>
        <w:jc w:val="both"/>
        <w:rPr>
          <w:rFonts w:cs="Arial"/>
          <w:szCs w:val="22"/>
        </w:rPr>
      </w:pPr>
    </w:p>
    <w:p w14:paraId="0B23F420" w14:textId="4232A89F" w:rsidR="0025558A" w:rsidRDefault="0025558A" w:rsidP="0025558A">
      <w:pPr>
        <w:jc w:val="both"/>
        <w:rPr>
          <w:rFonts w:cs="Arial"/>
          <w:szCs w:val="22"/>
        </w:rPr>
      </w:pPr>
      <w:r w:rsidRPr="00541F62">
        <w:rPr>
          <w:rFonts w:cs="Arial"/>
          <w:szCs w:val="22"/>
        </w:rPr>
        <w:t xml:space="preserve">If large corporations with many sites selectively implement the technology on a trial basis, there should be no conflict with program support. However, if it becomes company policy or a company-wide initiative, it may be then fall under industry standard practice for that customer; therefore, </w:t>
      </w:r>
      <w:r w:rsidRPr="00541F62">
        <w:rPr>
          <w:rFonts w:cs="Arial"/>
          <w:szCs w:val="22"/>
        </w:rPr>
        <w:lastRenderedPageBreak/>
        <w:t xml:space="preserve">bringing this product to customers before the industry as a whole realizes the benefit is in utilities’ </w:t>
      </w:r>
      <w:r w:rsidR="00E46A15">
        <w:rPr>
          <w:rFonts w:cs="Arial"/>
          <w:szCs w:val="22"/>
        </w:rPr>
        <w:t xml:space="preserve">and ratepayers’ </w:t>
      </w:r>
      <w:r w:rsidRPr="00541F62">
        <w:rPr>
          <w:rFonts w:cs="Arial"/>
          <w:szCs w:val="22"/>
        </w:rPr>
        <w:t>best interests.</w:t>
      </w:r>
    </w:p>
    <w:p w14:paraId="1150CBA6" w14:textId="77777777" w:rsidR="00D767BD" w:rsidRPr="008E3621" w:rsidRDefault="00D767BD" w:rsidP="00F27D7E">
      <w:pPr>
        <w:pStyle w:val="Heading1-Abstract"/>
        <w:shd w:val="clear" w:color="auto" w:fill="B8CCE4" w:themeFill="accent1" w:themeFillTint="66"/>
      </w:pPr>
      <w:r w:rsidRPr="008E3621">
        <w:t>Measure Summary</w:t>
      </w:r>
    </w:p>
    <w:p w14:paraId="3B40D354" w14:textId="0DCBEE72"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053957">
        <w:rPr>
          <w:rFonts w:cs="Arial"/>
          <w:noProof/>
          <w:sz w:val="22"/>
          <w:szCs w:val="22"/>
        </w:rPr>
        <w:t>2</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firstRow="1" w:lastRow="0" w:firstColumn="1" w:lastColumn="0" w:noHBand="0" w:noVBand="1"/>
      </w:tblPr>
      <w:tblGrid>
        <w:gridCol w:w="4040"/>
        <w:gridCol w:w="4950"/>
      </w:tblGrid>
      <w:tr w:rsidR="00D767BD" w:rsidRPr="008E3621" w14:paraId="713F1260" w14:textId="77777777">
        <w:tc>
          <w:tcPr>
            <w:tcW w:w="4040" w:type="dxa"/>
            <w:shd w:val="clear" w:color="auto" w:fill="DAEEF3" w:themeFill="accent5" w:themeFillTint="33"/>
            <w:vAlign w:val="center"/>
          </w:tcPr>
          <w:p w14:paraId="40F806DF" w14:textId="77777777" w:rsidR="00D767BD" w:rsidRPr="008E3621" w:rsidRDefault="00E7604D" w:rsidP="00C636BA">
            <w:pPr>
              <w:jc w:val="center"/>
              <w:rPr>
                <w:rFonts w:cs="Arial"/>
                <w:b/>
              </w:rPr>
            </w:pPr>
            <w:r w:rsidRPr="008E3621">
              <w:rPr>
                <w:rFonts w:cs="Arial"/>
                <w:b/>
              </w:rPr>
              <w:t>Characteristic</w:t>
            </w:r>
          </w:p>
        </w:tc>
        <w:tc>
          <w:tcPr>
            <w:tcW w:w="4950" w:type="dxa"/>
            <w:shd w:val="clear" w:color="auto" w:fill="DAEEF3" w:themeFill="accent5" w:themeFillTint="33"/>
            <w:vAlign w:val="center"/>
          </w:tcPr>
          <w:p w14:paraId="062C6C30" w14:textId="77777777" w:rsidR="00D767BD" w:rsidRPr="008E3621" w:rsidRDefault="00E7604D" w:rsidP="00C636BA">
            <w:pPr>
              <w:jc w:val="center"/>
              <w:rPr>
                <w:rFonts w:cs="Arial"/>
                <w:b/>
              </w:rPr>
            </w:pPr>
            <w:r w:rsidRPr="008E3621">
              <w:rPr>
                <w:rFonts w:cs="Arial"/>
                <w:b/>
              </w:rPr>
              <w:t>Measure</w:t>
            </w:r>
          </w:p>
        </w:tc>
      </w:tr>
      <w:tr w:rsidR="00D767BD" w:rsidRPr="008E3621" w14:paraId="7728E8D5" w14:textId="77777777">
        <w:tc>
          <w:tcPr>
            <w:tcW w:w="4040" w:type="dxa"/>
            <w:shd w:val="clear" w:color="auto" w:fill="FFFFFF" w:themeFill="background1"/>
            <w:vAlign w:val="center"/>
          </w:tcPr>
          <w:p w14:paraId="1BB0DBC5" w14:textId="77777777" w:rsidR="00D767BD" w:rsidRPr="008E3621" w:rsidRDefault="002461C8" w:rsidP="00C636BA">
            <w:pPr>
              <w:rPr>
                <w:rFonts w:cs="Arial"/>
              </w:rPr>
            </w:pPr>
            <w:r w:rsidRPr="008E3621">
              <w:rPr>
                <w:rFonts w:cs="Arial"/>
              </w:rPr>
              <w:t>Baseline Technology or Mix</w:t>
            </w:r>
          </w:p>
        </w:tc>
        <w:tc>
          <w:tcPr>
            <w:tcW w:w="4950" w:type="dxa"/>
            <w:shd w:val="clear" w:color="auto" w:fill="FFFFFF" w:themeFill="background1"/>
          </w:tcPr>
          <w:p w14:paraId="6AEBE7CF" w14:textId="5201D223" w:rsidR="00D767BD" w:rsidRPr="008E3621" w:rsidRDefault="00AC63D2" w:rsidP="00E7604D">
            <w:pPr>
              <w:jc w:val="center"/>
              <w:rPr>
                <w:rFonts w:cs="Arial"/>
              </w:rPr>
            </w:pPr>
            <w:r>
              <w:rPr>
                <w:rFonts w:cs="Arial"/>
              </w:rPr>
              <w:t>Constant speed ECM fan assembly</w:t>
            </w:r>
          </w:p>
        </w:tc>
      </w:tr>
      <w:tr w:rsidR="00D767BD" w:rsidRPr="008E3621" w14:paraId="2E2374DC" w14:textId="77777777">
        <w:tc>
          <w:tcPr>
            <w:tcW w:w="4040" w:type="dxa"/>
            <w:shd w:val="clear" w:color="auto" w:fill="DAEEF3" w:themeFill="accent5" w:themeFillTint="33"/>
            <w:vAlign w:val="center"/>
          </w:tcPr>
          <w:p w14:paraId="77791E4C" w14:textId="77777777" w:rsidR="00D767BD" w:rsidRPr="008E3621" w:rsidRDefault="002461C8" w:rsidP="00C636BA">
            <w:pPr>
              <w:rPr>
                <w:rFonts w:cs="Arial"/>
              </w:rPr>
            </w:pPr>
            <w:r w:rsidRPr="008E3621">
              <w:rPr>
                <w:rFonts w:cs="Arial"/>
              </w:rPr>
              <w:t>Measure Technology</w:t>
            </w:r>
          </w:p>
        </w:tc>
        <w:tc>
          <w:tcPr>
            <w:tcW w:w="4950" w:type="dxa"/>
            <w:shd w:val="clear" w:color="auto" w:fill="DAEEF3" w:themeFill="accent5" w:themeFillTint="33"/>
          </w:tcPr>
          <w:p w14:paraId="7C8C519A" w14:textId="2AE77776" w:rsidR="00D767BD" w:rsidRPr="008E3621" w:rsidRDefault="00AC63D2" w:rsidP="00E7604D">
            <w:pPr>
              <w:jc w:val="center"/>
              <w:rPr>
                <w:rFonts w:cs="Arial"/>
              </w:rPr>
            </w:pPr>
            <w:r>
              <w:rPr>
                <w:rFonts w:cs="Arial"/>
              </w:rPr>
              <w:t>Constant speed high efficiency PMSM fan assembly</w:t>
            </w:r>
          </w:p>
        </w:tc>
      </w:tr>
      <w:tr w:rsidR="002E256D" w:rsidRPr="008E3621" w14:paraId="057979FC" w14:textId="77777777">
        <w:tc>
          <w:tcPr>
            <w:tcW w:w="4040" w:type="dxa"/>
            <w:shd w:val="clear" w:color="auto" w:fill="FFFFFF" w:themeFill="background1"/>
            <w:vAlign w:val="center"/>
          </w:tcPr>
          <w:p w14:paraId="2146F5C3" w14:textId="77777777" w:rsidR="002E256D" w:rsidRPr="008E3621" w:rsidRDefault="002E256D" w:rsidP="00C636BA">
            <w:pPr>
              <w:rPr>
                <w:rFonts w:cs="Arial"/>
              </w:rPr>
            </w:pPr>
            <w:r w:rsidRPr="008E3621">
              <w:rPr>
                <w:rFonts w:cs="Arial"/>
              </w:rPr>
              <w:t>Measure Application Type</w:t>
            </w:r>
          </w:p>
        </w:tc>
        <w:tc>
          <w:tcPr>
            <w:tcW w:w="4950" w:type="dxa"/>
            <w:shd w:val="clear" w:color="auto" w:fill="FFFFFF" w:themeFill="background1"/>
          </w:tcPr>
          <w:p w14:paraId="3A4F0B83" w14:textId="7F4B13BF" w:rsidR="002E256D" w:rsidRPr="008E3621" w:rsidRDefault="00F45932" w:rsidP="003B53C4">
            <w:pPr>
              <w:jc w:val="center"/>
              <w:rPr>
                <w:rFonts w:cs="Arial"/>
              </w:rPr>
            </w:pPr>
            <w:r>
              <w:rPr>
                <w:rFonts w:cs="Arial"/>
              </w:rPr>
              <w:t>NR (</w:t>
            </w:r>
            <w:r w:rsidR="00AC63D2">
              <w:rPr>
                <w:rFonts w:cs="Arial"/>
              </w:rPr>
              <w:t>ER</w:t>
            </w:r>
            <w:r w:rsidR="0003012D">
              <w:rPr>
                <w:rFonts w:cs="Arial"/>
              </w:rPr>
              <w:t xml:space="preserve"> and ROB</w:t>
            </w:r>
            <w:r>
              <w:rPr>
                <w:rFonts w:cs="Arial"/>
              </w:rPr>
              <w:t>)</w:t>
            </w:r>
          </w:p>
        </w:tc>
      </w:tr>
      <w:tr w:rsidR="002E256D" w:rsidRPr="008E3621" w14:paraId="5612AE88" w14:textId="77777777">
        <w:tc>
          <w:tcPr>
            <w:tcW w:w="4040" w:type="dxa"/>
            <w:shd w:val="clear" w:color="auto" w:fill="DAEEF3" w:themeFill="accent5" w:themeFillTint="33"/>
            <w:vAlign w:val="center"/>
          </w:tcPr>
          <w:p w14:paraId="20496069" w14:textId="77777777" w:rsidR="002E256D" w:rsidRPr="008E3621" w:rsidRDefault="002E256D" w:rsidP="00C636BA">
            <w:pPr>
              <w:rPr>
                <w:rFonts w:cs="Arial"/>
              </w:rPr>
            </w:pPr>
            <w:r w:rsidRPr="008E3621">
              <w:rPr>
                <w:rFonts w:cs="Arial"/>
              </w:rPr>
              <w:t>Delivery Mechanism</w:t>
            </w:r>
          </w:p>
        </w:tc>
        <w:tc>
          <w:tcPr>
            <w:tcW w:w="4950" w:type="dxa"/>
            <w:shd w:val="clear" w:color="auto" w:fill="DAEEF3" w:themeFill="accent5" w:themeFillTint="33"/>
          </w:tcPr>
          <w:p w14:paraId="3A0467E6" w14:textId="2865482A" w:rsidR="002E256D" w:rsidRPr="008E3621" w:rsidRDefault="00305310" w:rsidP="003B53C4">
            <w:pPr>
              <w:jc w:val="center"/>
              <w:rPr>
                <w:rFonts w:cs="Arial"/>
              </w:rPr>
            </w:pPr>
            <w:r>
              <w:rPr>
                <w:rFonts w:cs="Arial"/>
              </w:rPr>
              <w:t>Upstream/</w:t>
            </w:r>
            <w:r w:rsidR="00AC63D2">
              <w:rPr>
                <w:rFonts w:cs="Arial"/>
              </w:rPr>
              <w:t>Downstream</w:t>
            </w:r>
            <w:r>
              <w:rPr>
                <w:rFonts w:cs="Arial"/>
              </w:rPr>
              <w:t xml:space="preserve"> rebate</w:t>
            </w:r>
            <w:r w:rsidR="0003012D">
              <w:rPr>
                <w:rFonts w:cs="Arial"/>
              </w:rPr>
              <w:t xml:space="preserve"> and DI</w:t>
            </w:r>
          </w:p>
        </w:tc>
      </w:tr>
      <w:tr w:rsidR="002461C8" w:rsidRPr="008E3621" w14:paraId="48D2DC10" w14:textId="77777777">
        <w:tc>
          <w:tcPr>
            <w:tcW w:w="4040" w:type="dxa"/>
            <w:shd w:val="clear" w:color="auto" w:fill="FFFFFF" w:themeFill="background1"/>
            <w:vAlign w:val="center"/>
          </w:tcPr>
          <w:p w14:paraId="25BE784A" w14:textId="77777777" w:rsidR="002461C8" w:rsidRPr="008E3621" w:rsidRDefault="002461C8" w:rsidP="00C636BA">
            <w:pPr>
              <w:rPr>
                <w:rFonts w:cs="Arial"/>
              </w:rPr>
            </w:pPr>
            <w:r w:rsidRPr="008E3621">
              <w:rPr>
                <w:rFonts w:cs="Arial"/>
              </w:rPr>
              <w:t>Impacted Markets</w:t>
            </w:r>
          </w:p>
        </w:tc>
        <w:tc>
          <w:tcPr>
            <w:tcW w:w="4950" w:type="dxa"/>
            <w:shd w:val="clear" w:color="auto" w:fill="FFFFFF" w:themeFill="background1"/>
          </w:tcPr>
          <w:p w14:paraId="17198368" w14:textId="723132B7" w:rsidR="002461C8" w:rsidRPr="008E3621" w:rsidRDefault="00AC63D2" w:rsidP="003B53C4">
            <w:pPr>
              <w:jc w:val="center"/>
              <w:rPr>
                <w:rFonts w:cs="Arial"/>
              </w:rPr>
            </w:pPr>
            <w:r>
              <w:rPr>
                <w:rFonts w:cs="Arial"/>
              </w:rPr>
              <w:t>Commercial – food retail</w:t>
            </w:r>
          </w:p>
        </w:tc>
      </w:tr>
      <w:tr w:rsidR="002461C8" w:rsidRPr="008E3621" w14:paraId="3733A189" w14:textId="77777777">
        <w:tc>
          <w:tcPr>
            <w:tcW w:w="4040" w:type="dxa"/>
            <w:shd w:val="clear" w:color="auto" w:fill="DAEEF3" w:themeFill="accent5" w:themeFillTint="33"/>
            <w:vAlign w:val="center"/>
          </w:tcPr>
          <w:p w14:paraId="5C511CE4" w14:textId="77777777" w:rsidR="002461C8" w:rsidRPr="008E3621" w:rsidRDefault="002461C8" w:rsidP="00C636BA">
            <w:pPr>
              <w:rPr>
                <w:rFonts w:cs="Arial"/>
              </w:rPr>
            </w:pPr>
            <w:r w:rsidRPr="008E3621">
              <w:rPr>
                <w:rFonts w:cs="Arial"/>
              </w:rPr>
              <w:t>Relevant Codes and Standards</w:t>
            </w:r>
          </w:p>
        </w:tc>
        <w:tc>
          <w:tcPr>
            <w:tcW w:w="4950" w:type="dxa"/>
            <w:shd w:val="clear" w:color="auto" w:fill="DAEEF3" w:themeFill="accent5" w:themeFillTint="33"/>
          </w:tcPr>
          <w:p w14:paraId="2ECE30D2" w14:textId="7BF96FDA" w:rsidR="002461C8" w:rsidRPr="008E3621" w:rsidRDefault="00AC63D2" w:rsidP="003B53C4">
            <w:pPr>
              <w:jc w:val="center"/>
              <w:rPr>
                <w:rFonts w:cs="Arial"/>
              </w:rPr>
            </w:pPr>
            <w:r>
              <w:rPr>
                <w:rFonts w:cs="Arial"/>
              </w:rPr>
              <w:t>No code for 9-12 watt refrigerated case motors</w:t>
            </w:r>
          </w:p>
        </w:tc>
      </w:tr>
    </w:tbl>
    <w:p w14:paraId="7DC36758" w14:textId="77777777" w:rsidR="00533BD0" w:rsidRPr="008E3621" w:rsidRDefault="00F64ED0" w:rsidP="00F27D7E">
      <w:pPr>
        <w:pStyle w:val="Heading1-Abstract"/>
        <w:shd w:val="clear" w:color="auto" w:fill="B8CCE4" w:themeFill="accent1" w:themeFillTint="66"/>
      </w:pPr>
      <w:r w:rsidRPr="008E3621">
        <w:t>Estimated Size of O</w:t>
      </w:r>
      <w:r w:rsidR="00533BD0" w:rsidRPr="008E3621">
        <w:t>ffer (Number of Participants)</w:t>
      </w:r>
    </w:p>
    <w:p w14:paraId="5A3E4FC6" w14:textId="3BAD7C3E" w:rsidR="009D1E3B" w:rsidRDefault="009D1E3B" w:rsidP="00622D8D">
      <w:pPr>
        <w:jc w:val="both"/>
        <w:rPr>
          <w:rFonts w:cs="Arial"/>
        </w:rPr>
      </w:pPr>
      <w:r w:rsidRPr="00541F62">
        <w:rPr>
          <w:rFonts w:cs="Arial"/>
        </w:rPr>
        <w:t>Since this is a brand new technology offering and only one company is currently producing the</w:t>
      </w:r>
      <w:r w:rsidR="00622D8D">
        <w:rPr>
          <w:rFonts w:cs="Arial"/>
        </w:rPr>
        <w:t xml:space="preserve"> product</w:t>
      </w:r>
      <w:r w:rsidRPr="00541F62">
        <w:rPr>
          <w:rFonts w:cs="Arial"/>
        </w:rPr>
        <w:t>, the market penetration and adoption rate are essentially 0%. Based on US Census data and estimates of installed fans per customer type, the following table lists the approximate baseline fan population in California. This includes about 8,800 supermarkets</w:t>
      </w:r>
      <w:r w:rsidR="00305310">
        <w:rPr>
          <w:rFonts w:cs="Arial"/>
        </w:rPr>
        <w:t xml:space="preserve"> and grocery stores</w:t>
      </w:r>
      <w:r w:rsidRPr="00541F62">
        <w:rPr>
          <w:rFonts w:cs="Arial"/>
        </w:rPr>
        <w:t xml:space="preserve"> which will comprise the majority of the market.</w:t>
      </w:r>
    </w:p>
    <w:p w14:paraId="2C6CEF99" w14:textId="6E2DDADC" w:rsidR="00541F62" w:rsidRDefault="00541F62" w:rsidP="00B845D5">
      <w:pPr>
        <w:rPr>
          <w:rFonts w:cs="Arial"/>
        </w:rPr>
      </w:pPr>
    </w:p>
    <w:p w14:paraId="071808D0" w14:textId="02A52E64" w:rsidR="009D1E3B" w:rsidRPr="008E3621" w:rsidRDefault="009D1E3B" w:rsidP="009D1E3B">
      <w:pPr>
        <w:pStyle w:val="Caption"/>
        <w:spacing w:after="60"/>
        <w:rPr>
          <w:rFonts w:cs="Arial"/>
          <w:sz w:val="22"/>
          <w:szCs w:val="22"/>
        </w:rPr>
      </w:pPr>
      <w:r w:rsidRPr="008E3621">
        <w:rPr>
          <w:rFonts w:cs="Arial"/>
          <w:sz w:val="22"/>
          <w:szCs w:val="22"/>
        </w:rPr>
        <w:t xml:space="preserve">Table </w:t>
      </w:r>
      <w:r w:rsidRPr="008E3621">
        <w:rPr>
          <w:rFonts w:cs="Arial"/>
          <w:sz w:val="22"/>
          <w:szCs w:val="22"/>
        </w:rPr>
        <w:fldChar w:fldCharType="begin"/>
      </w:r>
      <w:r w:rsidRPr="008E3621">
        <w:rPr>
          <w:rFonts w:cs="Arial"/>
          <w:sz w:val="22"/>
          <w:szCs w:val="22"/>
        </w:rPr>
        <w:instrText xml:space="preserve"> SEQ Table \* ARABIC </w:instrText>
      </w:r>
      <w:r w:rsidRPr="008E3621">
        <w:rPr>
          <w:rFonts w:cs="Arial"/>
          <w:sz w:val="22"/>
          <w:szCs w:val="22"/>
        </w:rPr>
        <w:fldChar w:fldCharType="separate"/>
      </w:r>
      <w:r w:rsidR="00053957">
        <w:rPr>
          <w:rFonts w:cs="Arial"/>
          <w:noProof/>
          <w:sz w:val="22"/>
          <w:szCs w:val="22"/>
        </w:rPr>
        <w:t>3</w:t>
      </w:r>
      <w:r w:rsidRPr="008E3621">
        <w:rPr>
          <w:rFonts w:cs="Arial"/>
          <w:sz w:val="22"/>
          <w:szCs w:val="22"/>
        </w:rPr>
        <w:fldChar w:fldCharType="end"/>
      </w:r>
      <w:r w:rsidRPr="008E3621">
        <w:rPr>
          <w:rFonts w:cs="Arial"/>
          <w:sz w:val="22"/>
          <w:szCs w:val="22"/>
        </w:rPr>
        <w:t xml:space="preserve"> </w:t>
      </w:r>
      <w:r>
        <w:rPr>
          <w:rFonts w:cs="Arial"/>
          <w:b w:val="0"/>
          <w:sz w:val="22"/>
          <w:szCs w:val="22"/>
        </w:rPr>
        <w:t>California market size</w:t>
      </w:r>
      <w:r w:rsidR="0083414B">
        <w:rPr>
          <w:rFonts w:cs="Arial"/>
          <w:b w:val="0"/>
          <w:sz w:val="22"/>
          <w:szCs w:val="22"/>
        </w:rPr>
        <w:t xml:space="preserve"> (from United States Census Bureau</w:t>
      </w:r>
      <w:r w:rsidR="00B66EB5">
        <w:rPr>
          <w:rFonts w:cs="Arial"/>
          <w:b w:val="0"/>
          <w:sz w:val="22"/>
          <w:szCs w:val="22"/>
        </w:rPr>
        <w:t xml:space="preserve"> and ORNL study</w:t>
      </w:r>
      <w:r w:rsidR="0083414B">
        <w:rPr>
          <w:rFonts w:cs="Arial"/>
          <w:b w:val="0"/>
          <w:sz w:val="22"/>
          <w:szCs w:val="22"/>
        </w:rPr>
        <w:t>)</w:t>
      </w:r>
    </w:p>
    <w:tbl>
      <w:tblPr>
        <w:tblStyle w:val="TableGrid"/>
        <w:tblW w:w="9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4040"/>
        <w:gridCol w:w="1890"/>
        <w:gridCol w:w="1620"/>
        <w:gridCol w:w="1620"/>
      </w:tblGrid>
      <w:tr w:rsidR="009D1E3B" w:rsidRPr="008E3621" w14:paraId="2C907A4B" w14:textId="77777777" w:rsidTr="0083414B">
        <w:tc>
          <w:tcPr>
            <w:tcW w:w="404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03040CF" w14:textId="2D5B9FE5" w:rsidR="009D1E3B" w:rsidRPr="008E3621" w:rsidRDefault="009D1E3B" w:rsidP="00C20BF9">
            <w:pPr>
              <w:jc w:val="center"/>
              <w:rPr>
                <w:rFonts w:cs="Arial"/>
                <w:b/>
              </w:rPr>
            </w:pPr>
            <w:r>
              <w:rPr>
                <w:rFonts w:cs="Arial"/>
                <w:b/>
              </w:rPr>
              <w:t>Facility Type</w:t>
            </w:r>
          </w:p>
        </w:tc>
        <w:tc>
          <w:tcPr>
            <w:tcW w:w="189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463302B7" w14:textId="32E1267A" w:rsidR="009D1E3B" w:rsidRPr="008E3621" w:rsidRDefault="009D1E3B" w:rsidP="00C20BF9">
            <w:pPr>
              <w:jc w:val="center"/>
              <w:rPr>
                <w:rFonts w:cs="Arial"/>
                <w:b/>
              </w:rPr>
            </w:pPr>
            <w:r>
              <w:rPr>
                <w:rFonts w:cs="Arial"/>
                <w:b/>
              </w:rPr>
              <w:t># of CA Establishments</w:t>
            </w:r>
          </w:p>
        </w:tc>
        <w:tc>
          <w:tcPr>
            <w:tcW w:w="162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2DFC0531" w14:textId="7A53C761" w:rsidR="009D1E3B" w:rsidRPr="008E3621" w:rsidRDefault="009D1E3B" w:rsidP="00C20BF9">
            <w:pPr>
              <w:jc w:val="center"/>
              <w:rPr>
                <w:rFonts w:cs="Arial"/>
                <w:b/>
              </w:rPr>
            </w:pPr>
            <w:r>
              <w:rPr>
                <w:rFonts w:cs="Arial"/>
                <w:b/>
              </w:rPr>
              <w:t>9-12 W motors per site</w:t>
            </w:r>
          </w:p>
        </w:tc>
        <w:tc>
          <w:tcPr>
            <w:tcW w:w="162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85FF30E" w14:textId="0169F8B2" w:rsidR="009D1E3B" w:rsidRPr="008E3621" w:rsidRDefault="009D1E3B" w:rsidP="00C20BF9">
            <w:pPr>
              <w:jc w:val="center"/>
              <w:rPr>
                <w:rFonts w:cs="Arial"/>
                <w:b/>
              </w:rPr>
            </w:pPr>
            <w:r>
              <w:rPr>
                <w:rFonts w:cs="Arial"/>
                <w:b/>
              </w:rPr>
              <w:t>Total number of fans</w:t>
            </w:r>
          </w:p>
        </w:tc>
      </w:tr>
      <w:tr w:rsidR="009D1E3B" w:rsidRPr="008E3621" w14:paraId="4B1BC806" w14:textId="77777777" w:rsidTr="0083414B">
        <w:tc>
          <w:tcPr>
            <w:tcW w:w="4040" w:type="dxa"/>
            <w:tcBorders>
              <w:top w:val="single" w:sz="24" w:space="0" w:color="548DD4" w:themeColor="text2" w:themeTint="99"/>
              <w:bottom w:val="single" w:sz="6" w:space="0" w:color="548DD4" w:themeColor="text2" w:themeTint="99"/>
            </w:tcBorders>
            <w:shd w:val="clear" w:color="auto" w:fill="FFFFFF" w:themeFill="background1"/>
            <w:vAlign w:val="center"/>
          </w:tcPr>
          <w:p w14:paraId="33EA4099" w14:textId="59D9D992" w:rsidR="009D1E3B" w:rsidRPr="008E3621" w:rsidRDefault="009D1E3B" w:rsidP="00C20BF9">
            <w:pPr>
              <w:jc w:val="center"/>
              <w:rPr>
                <w:rFonts w:cs="Arial"/>
                <w:szCs w:val="22"/>
              </w:rPr>
            </w:pPr>
            <w:r>
              <w:rPr>
                <w:rFonts w:cs="Arial"/>
                <w:szCs w:val="22"/>
              </w:rPr>
              <w:t>Supermarkets and other grocery stores</w:t>
            </w:r>
          </w:p>
        </w:tc>
        <w:tc>
          <w:tcPr>
            <w:tcW w:w="1890" w:type="dxa"/>
            <w:tcBorders>
              <w:top w:val="single" w:sz="24" w:space="0" w:color="548DD4" w:themeColor="text2" w:themeTint="99"/>
              <w:bottom w:val="single" w:sz="6" w:space="0" w:color="548DD4" w:themeColor="text2" w:themeTint="99"/>
            </w:tcBorders>
            <w:shd w:val="clear" w:color="auto" w:fill="FFFFFF" w:themeFill="background1"/>
          </w:tcPr>
          <w:p w14:paraId="3CBCEB66" w14:textId="4780A93B" w:rsidR="009D1E3B" w:rsidRPr="008E3621" w:rsidRDefault="009D1E3B" w:rsidP="00C20BF9">
            <w:pPr>
              <w:jc w:val="center"/>
              <w:rPr>
                <w:rFonts w:cs="Arial"/>
                <w:szCs w:val="22"/>
              </w:rPr>
            </w:pPr>
            <w:r>
              <w:rPr>
                <w:rFonts w:cs="Arial"/>
                <w:szCs w:val="22"/>
              </w:rPr>
              <w:t>8,805</w:t>
            </w:r>
          </w:p>
        </w:tc>
        <w:tc>
          <w:tcPr>
            <w:tcW w:w="1620" w:type="dxa"/>
            <w:tcBorders>
              <w:top w:val="single" w:sz="24" w:space="0" w:color="548DD4" w:themeColor="text2" w:themeTint="99"/>
              <w:bottom w:val="single" w:sz="6" w:space="0" w:color="548DD4" w:themeColor="text2" w:themeTint="99"/>
            </w:tcBorders>
            <w:shd w:val="clear" w:color="auto" w:fill="FFFFFF" w:themeFill="background1"/>
          </w:tcPr>
          <w:p w14:paraId="369F7C46" w14:textId="382F5396" w:rsidR="009D1E3B" w:rsidRPr="008E3621" w:rsidRDefault="009D1E3B" w:rsidP="00C20BF9">
            <w:pPr>
              <w:jc w:val="center"/>
              <w:rPr>
                <w:rFonts w:cs="Arial"/>
                <w:szCs w:val="22"/>
              </w:rPr>
            </w:pPr>
            <w:r>
              <w:rPr>
                <w:rFonts w:cs="Arial"/>
                <w:szCs w:val="22"/>
              </w:rPr>
              <w:t>216</w:t>
            </w:r>
          </w:p>
        </w:tc>
        <w:tc>
          <w:tcPr>
            <w:tcW w:w="1620" w:type="dxa"/>
            <w:tcBorders>
              <w:top w:val="single" w:sz="24" w:space="0" w:color="548DD4" w:themeColor="text2" w:themeTint="99"/>
              <w:bottom w:val="single" w:sz="6" w:space="0" w:color="548DD4" w:themeColor="text2" w:themeTint="99"/>
            </w:tcBorders>
            <w:shd w:val="clear" w:color="auto" w:fill="FFFFFF" w:themeFill="background1"/>
          </w:tcPr>
          <w:p w14:paraId="1F6F6991" w14:textId="3AD3AE5C" w:rsidR="009D1E3B" w:rsidRPr="008E3621" w:rsidRDefault="009D1E3B" w:rsidP="00C20BF9">
            <w:pPr>
              <w:jc w:val="center"/>
              <w:rPr>
                <w:rFonts w:cs="Arial"/>
                <w:szCs w:val="22"/>
              </w:rPr>
            </w:pPr>
            <w:r w:rsidRPr="0003012D">
              <w:rPr>
                <w:rFonts w:cs="Arial"/>
                <w:szCs w:val="22"/>
              </w:rPr>
              <w:t>1,748,323</w:t>
            </w:r>
          </w:p>
        </w:tc>
      </w:tr>
      <w:tr w:rsidR="009D1E3B" w:rsidRPr="008E3621" w14:paraId="18188BE4" w14:textId="77777777" w:rsidTr="0083414B">
        <w:tc>
          <w:tcPr>
            <w:tcW w:w="404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3003D6F6" w14:textId="157C962D" w:rsidR="009D1E3B" w:rsidRPr="008E3621" w:rsidRDefault="009D1E3B" w:rsidP="00C20BF9">
            <w:pPr>
              <w:jc w:val="center"/>
              <w:rPr>
                <w:rFonts w:cs="Arial"/>
                <w:szCs w:val="22"/>
              </w:rPr>
            </w:pPr>
            <w:r>
              <w:rPr>
                <w:rFonts w:cs="Arial"/>
                <w:szCs w:val="22"/>
              </w:rPr>
              <w:t>Convenience stores</w:t>
            </w:r>
          </w:p>
        </w:tc>
        <w:tc>
          <w:tcPr>
            <w:tcW w:w="1890" w:type="dxa"/>
            <w:tcBorders>
              <w:top w:val="single" w:sz="6" w:space="0" w:color="548DD4" w:themeColor="text2" w:themeTint="99"/>
              <w:bottom w:val="single" w:sz="6" w:space="0" w:color="548DD4" w:themeColor="text2" w:themeTint="99"/>
            </w:tcBorders>
            <w:shd w:val="clear" w:color="auto" w:fill="DAEEF3" w:themeFill="accent5" w:themeFillTint="33"/>
          </w:tcPr>
          <w:p w14:paraId="1E5A5A9C" w14:textId="2DE9080A" w:rsidR="009D1E3B" w:rsidRPr="008E3621" w:rsidRDefault="009D1E3B" w:rsidP="00C20BF9">
            <w:pPr>
              <w:jc w:val="center"/>
              <w:rPr>
                <w:rFonts w:cs="Arial"/>
                <w:szCs w:val="22"/>
              </w:rPr>
            </w:pPr>
            <w:r>
              <w:rPr>
                <w:rFonts w:cs="Arial"/>
                <w:szCs w:val="22"/>
              </w:rPr>
              <w:t>2,373</w:t>
            </w:r>
          </w:p>
        </w:tc>
        <w:tc>
          <w:tcPr>
            <w:tcW w:w="1620" w:type="dxa"/>
            <w:tcBorders>
              <w:top w:val="single" w:sz="6" w:space="0" w:color="548DD4" w:themeColor="text2" w:themeTint="99"/>
              <w:bottom w:val="single" w:sz="6" w:space="0" w:color="548DD4" w:themeColor="text2" w:themeTint="99"/>
            </w:tcBorders>
            <w:shd w:val="clear" w:color="auto" w:fill="DAEEF3" w:themeFill="accent5" w:themeFillTint="33"/>
          </w:tcPr>
          <w:p w14:paraId="0B52D1D7" w14:textId="0AA677BD" w:rsidR="009D1E3B" w:rsidRPr="008E3621" w:rsidRDefault="009D1E3B" w:rsidP="00C20BF9">
            <w:pPr>
              <w:jc w:val="center"/>
              <w:rPr>
                <w:rFonts w:cs="Arial"/>
                <w:szCs w:val="22"/>
              </w:rPr>
            </w:pPr>
            <w:r>
              <w:rPr>
                <w:rFonts w:cs="Arial"/>
                <w:szCs w:val="22"/>
              </w:rPr>
              <w:t>7</w:t>
            </w:r>
          </w:p>
        </w:tc>
        <w:tc>
          <w:tcPr>
            <w:tcW w:w="1620" w:type="dxa"/>
            <w:tcBorders>
              <w:top w:val="single" w:sz="6" w:space="0" w:color="548DD4" w:themeColor="text2" w:themeTint="99"/>
              <w:bottom w:val="single" w:sz="6" w:space="0" w:color="548DD4" w:themeColor="text2" w:themeTint="99"/>
            </w:tcBorders>
            <w:shd w:val="clear" w:color="auto" w:fill="DAEEF3" w:themeFill="accent5" w:themeFillTint="33"/>
          </w:tcPr>
          <w:p w14:paraId="0348DD4E" w14:textId="65D4DF67" w:rsidR="009D1E3B" w:rsidRPr="008E3621" w:rsidRDefault="009D1E3B" w:rsidP="00C20BF9">
            <w:pPr>
              <w:jc w:val="center"/>
              <w:rPr>
                <w:rFonts w:cs="Arial"/>
                <w:szCs w:val="22"/>
              </w:rPr>
            </w:pPr>
            <w:r>
              <w:rPr>
                <w:rFonts w:cs="Arial"/>
                <w:szCs w:val="22"/>
              </w:rPr>
              <w:t>16,611</w:t>
            </w:r>
          </w:p>
        </w:tc>
      </w:tr>
      <w:tr w:rsidR="009D1E3B" w:rsidRPr="008E3621" w14:paraId="2AFA01E1" w14:textId="77777777" w:rsidTr="0083414B">
        <w:tc>
          <w:tcPr>
            <w:tcW w:w="4040" w:type="dxa"/>
            <w:tcBorders>
              <w:top w:val="single" w:sz="6" w:space="0" w:color="548DD4" w:themeColor="text2" w:themeTint="99"/>
              <w:bottom w:val="single" w:sz="4" w:space="0" w:color="auto"/>
            </w:tcBorders>
            <w:shd w:val="clear" w:color="auto" w:fill="FFFFFF" w:themeFill="background1"/>
            <w:vAlign w:val="center"/>
          </w:tcPr>
          <w:p w14:paraId="00BB567D" w14:textId="6799F18B" w:rsidR="009D1E3B" w:rsidRPr="008E3621" w:rsidRDefault="009D1E3B" w:rsidP="00C20BF9">
            <w:pPr>
              <w:jc w:val="center"/>
              <w:rPr>
                <w:rFonts w:cs="Arial"/>
                <w:szCs w:val="22"/>
              </w:rPr>
            </w:pPr>
            <w:r>
              <w:rPr>
                <w:rFonts w:cs="Arial"/>
                <w:szCs w:val="22"/>
              </w:rPr>
              <w:t>Specialty food stores</w:t>
            </w:r>
          </w:p>
        </w:tc>
        <w:tc>
          <w:tcPr>
            <w:tcW w:w="1890" w:type="dxa"/>
            <w:tcBorders>
              <w:top w:val="single" w:sz="6" w:space="0" w:color="548DD4" w:themeColor="text2" w:themeTint="99"/>
              <w:bottom w:val="single" w:sz="4" w:space="0" w:color="auto"/>
            </w:tcBorders>
            <w:shd w:val="clear" w:color="auto" w:fill="FFFFFF" w:themeFill="background1"/>
          </w:tcPr>
          <w:p w14:paraId="2DF1B6C7" w14:textId="5FE625AC" w:rsidR="009D1E3B" w:rsidRPr="008E3621" w:rsidRDefault="009D1E3B" w:rsidP="00C20BF9">
            <w:pPr>
              <w:jc w:val="center"/>
              <w:rPr>
                <w:rFonts w:cs="Arial"/>
                <w:szCs w:val="22"/>
              </w:rPr>
            </w:pPr>
            <w:r>
              <w:rPr>
                <w:rFonts w:cs="Arial"/>
                <w:szCs w:val="22"/>
              </w:rPr>
              <w:t>2,896</w:t>
            </w:r>
          </w:p>
        </w:tc>
        <w:tc>
          <w:tcPr>
            <w:tcW w:w="1620" w:type="dxa"/>
            <w:tcBorders>
              <w:top w:val="single" w:sz="6" w:space="0" w:color="548DD4" w:themeColor="text2" w:themeTint="99"/>
              <w:bottom w:val="single" w:sz="4" w:space="0" w:color="auto"/>
            </w:tcBorders>
            <w:shd w:val="clear" w:color="auto" w:fill="FFFFFF" w:themeFill="background1"/>
          </w:tcPr>
          <w:p w14:paraId="2CFDC111" w14:textId="2F4C43C2" w:rsidR="009D1E3B" w:rsidRPr="008E3621" w:rsidRDefault="009D1E3B" w:rsidP="00C20BF9">
            <w:pPr>
              <w:jc w:val="center"/>
              <w:rPr>
                <w:rFonts w:cs="Arial"/>
                <w:szCs w:val="22"/>
              </w:rPr>
            </w:pPr>
            <w:r>
              <w:rPr>
                <w:rFonts w:cs="Arial"/>
                <w:szCs w:val="22"/>
              </w:rPr>
              <w:t>50</w:t>
            </w:r>
          </w:p>
        </w:tc>
        <w:tc>
          <w:tcPr>
            <w:tcW w:w="1620" w:type="dxa"/>
            <w:tcBorders>
              <w:top w:val="single" w:sz="6" w:space="0" w:color="548DD4" w:themeColor="text2" w:themeTint="99"/>
              <w:bottom w:val="single" w:sz="4" w:space="0" w:color="auto"/>
            </w:tcBorders>
            <w:shd w:val="clear" w:color="auto" w:fill="FFFFFF" w:themeFill="background1"/>
          </w:tcPr>
          <w:p w14:paraId="1DE4872D" w14:textId="17E89FA8" w:rsidR="009D1E3B" w:rsidRPr="008E3621" w:rsidRDefault="009D1E3B" w:rsidP="00C20BF9">
            <w:pPr>
              <w:jc w:val="center"/>
              <w:rPr>
                <w:rFonts w:cs="Arial"/>
                <w:szCs w:val="22"/>
              </w:rPr>
            </w:pPr>
            <w:r>
              <w:rPr>
                <w:rFonts w:cs="Arial"/>
                <w:szCs w:val="22"/>
              </w:rPr>
              <w:t>144,800</w:t>
            </w:r>
          </w:p>
        </w:tc>
      </w:tr>
      <w:tr w:rsidR="009D1E3B" w:rsidRPr="008E3621" w14:paraId="2E6920F6" w14:textId="77777777" w:rsidTr="0083414B">
        <w:tc>
          <w:tcPr>
            <w:tcW w:w="4040" w:type="dxa"/>
            <w:tcBorders>
              <w:top w:val="single" w:sz="4" w:space="0" w:color="auto"/>
              <w:bottom w:val="single" w:sz="2" w:space="0" w:color="548DD4" w:themeColor="text2" w:themeTint="99"/>
            </w:tcBorders>
            <w:shd w:val="clear" w:color="auto" w:fill="DAEEF3" w:themeFill="accent5" w:themeFillTint="33"/>
            <w:vAlign w:val="center"/>
          </w:tcPr>
          <w:p w14:paraId="7350E44F" w14:textId="17D4605A" w:rsidR="009D1E3B" w:rsidRPr="008E3621" w:rsidRDefault="009D1E3B" w:rsidP="00C20BF9">
            <w:pPr>
              <w:jc w:val="center"/>
              <w:rPr>
                <w:rFonts w:cs="Arial"/>
                <w:szCs w:val="22"/>
              </w:rPr>
            </w:pPr>
            <w:r>
              <w:rPr>
                <w:rFonts w:cs="Arial"/>
                <w:szCs w:val="22"/>
              </w:rPr>
              <w:t>Liquor stores</w:t>
            </w:r>
          </w:p>
        </w:tc>
        <w:tc>
          <w:tcPr>
            <w:tcW w:w="1890" w:type="dxa"/>
            <w:tcBorders>
              <w:top w:val="single" w:sz="4" w:space="0" w:color="auto"/>
              <w:bottom w:val="single" w:sz="2" w:space="0" w:color="548DD4" w:themeColor="text2" w:themeTint="99"/>
            </w:tcBorders>
            <w:shd w:val="clear" w:color="auto" w:fill="DAEEF3" w:themeFill="accent5" w:themeFillTint="33"/>
          </w:tcPr>
          <w:p w14:paraId="015391A8" w14:textId="1B40209D" w:rsidR="009D1E3B" w:rsidRPr="008E3621" w:rsidRDefault="009D1E3B" w:rsidP="00C20BF9">
            <w:pPr>
              <w:jc w:val="center"/>
              <w:rPr>
                <w:rFonts w:cs="Arial"/>
                <w:szCs w:val="22"/>
              </w:rPr>
            </w:pPr>
            <w:r>
              <w:rPr>
                <w:rFonts w:cs="Arial"/>
                <w:szCs w:val="22"/>
              </w:rPr>
              <w:t>3,815</w:t>
            </w:r>
          </w:p>
        </w:tc>
        <w:tc>
          <w:tcPr>
            <w:tcW w:w="1620" w:type="dxa"/>
            <w:tcBorders>
              <w:top w:val="single" w:sz="4" w:space="0" w:color="auto"/>
              <w:bottom w:val="single" w:sz="2" w:space="0" w:color="548DD4" w:themeColor="text2" w:themeTint="99"/>
            </w:tcBorders>
            <w:shd w:val="clear" w:color="auto" w:fill="DAEEF3" w:themeFill="accent5" w:themeFillTint="33"/>
          </w:tcPr>
          <w:p w14:paraId="7E077D52" w14:textId="1BD048DD" w:rsidR="009D1E3B" w:rsidRPr="008E3621" w:rsidRDefault="009D1E3B" w:rsidP="00C20BF9">
            <w:pPr>
              <w:jc w:val="center"/>
              <w:rPr>
                <w:rFonts w:cs="Arial"/>
                <w:szCs w:val="22"/>
              </w:rPr>
            </w:pPr>
            <w:r>
              <w:rPr>
                <w:rFonts w:cs="Arial"/>
                <w:szCs w:val="22"/>
              </w:rPr>
              <w:t>2</w:t>
            </w:r>
          </w:p>
        </w:tc>
        <w:tc>
          <w:tcPr>
            <w:tcW w:w="1620" w:type="dxa"/>
            <w:tcBorders>
              <w:top w:val="single" w:sz="4" w:space="0" w:color="auto"/>
              <w:bottom w:val="single" w:sz="2" w:space="0" w:color="548DD4" w:themeColor="text2" w:themeTint="99"/>
            </w:tcBorders>
            <w:shd w:val="clear" w:color="auto" w:fill="DAEEF3" w:themeFill="accent5" w:themeFillTint="33"/>
          </w:tcPr>
          <w:p w14:paraId="005FA1D7" w14:textId="28E48484" w:rsidR="009D1E3B" w:rsidRPr="008E3621" w:rsidRDefault="009D1E3B" w:rsidP="00C20BF9">
            <w:pPr>
              <w:jc w:val="center"/>
              <w:rPr>
                <w:rFonts w:cs="Arial"/>
                <w:szCs w:val="22"/>
              </w:rPr>
            </w:pPr>
            <w:r>
              <w:rPr>
                <w:rFonts w:cs="Arial"/>
                <w:szCs w:val="22"/>
              </w:rPr>
              <w:t>7,630</w:t>
            </w:r>
          </w:p>
        </w:tc>
      </w:tr>
      <w:tr w:rsidR="009D1E3B" w:rsidRPr="008E3621" w14:paraId="746BED32" w14:textId="77777777" w:rsidTr="0083414B">
        <w:tc>
          <w:tcPr>
            <w:tcW w:w="4040" w:type="dxa"/>
            <w:tcBorders>
              <w:top w:val="single" w:sz="2" w:space="0" w:color="548DD4" w:themeColor="text2" w:themeTint="99"/>
              <w:left w:val="single" w:sz="2" w:space="0" w:color="548DD4" w:themeColor="text2" w:themeTint="99"/>
              <w:bottom w:val="single" w:sz="2" w:space="0" w:color="548DD4" w:themeColor="text2" w:themeTint="99"/>
            </w:tcBorders>
            <w:shd w:val="clear" w:color="auto" w:fill="FFFFFF" w:themeFill="background1"/>
            <w:vAlign w:val="center"/>
          </w:tcPr>
          <w:p w14:paraId="49C06634" w14:textId="49812407" w:rsidR="009D1E3B" w:rsidRPr="008E3621" w:rsidRDefault="009D1E3B" w:rsidP="00C20BF9">
            <w:pPr>
              <w:jc w:val="center"/>
              <w:rPr>
                <w:rFonts w:cs="Arial"/>
                <w:szCs w:val="22"/>
              </w:rPr>
            </w:pPr>
            <w:r>
              <w:rPr>
                <w:rFonts w:cs="Arial"/>
                <w:szCs w:val="22"/>
              </w:rPr>
              <w:t>Drug stores</w:t>
            </w:r>
          </w:p>
        </w:tc>
        <w:tc>
          <w:tcPr>
            <w:tcW w:w="1890" w:type="dxa"/>
            <w:tcBorders>
              <w:top w:val="single" w:sz="2" w:space="0" w:color="548DD4" w:themeColor="text2" w:themeTint="99"/>
              <w:bottom w:val="single" w:sz="2" w:space="0" w:color="548DD4" w:themeColor="text2" w:themeTint="99"/>
            </w:tcBorders>
            <w:shd w:val="clear" w:color="auto" w:fill="FFFFFF" w:themeFill="background1"/>
          </w:tcPr>
          <w:p w14:paraId="751DAD7B" w14:textId="062FD472" w:rsidR="009D1E3B" w:rsidRPr="008E3621" w:rsidRDefault="009D1E3B" w:rsidP="00C20BF9">
            <w:pPr>
              <w:jc w:val="center"/>
              <w:rPr>
                <w:rFonts w:cs="Arial"/>
                <w:szCs w:val="22"/>
              </w:rPr>
            </w:pPr>
            <w:r>
              <w:rPr>
                <w:rFonts w:cs="Arial"/>
                <w:szCs w:val="22"/>
              </w:rPr>
              <w:t>4,435</w:t>
            </w:r>
          </w:p>
        </w:tc>
        <w:tc>
          <w:tcPr>
            <w:tcW w:w="1620" w:type="dxa"/>
            <w:tcBorders>
              <w:top w:val="single" w:sz="2" w:space="0" w:color="548DD4" w:themeColor="text2" w:themeTint="99"/>
              <w:bottom w:val="single" w:sz="2" w:space="0" w:color="548DD4" w:themeColor="text2" w:themeTint="99"/>
            </w:tcBorders>
            <w:shd w:val="clear" w:color="auto" w:fill="FFFFFF" w:themeFill="background1"/>
          </w:tcPr>
          <w:p w14:paraId="0E954AA9" w14:textId="20880288" w:rsidR="009D1E3B" w:rsidRPr="008E3621" w:rsidRDefault="009D1E3B" w:rsidP="00C20BF9">
            <w:pPr>
              <w:jc w:val="center"/>
              <w:rPr>
                <w:rFonts w:cs="Arial"/>
                <w:szCs w:val="22"/>
              </w:rPr>
            </w:pPr>
            <w:r>
              <w:rPr>
                <w:rFonts w:cs="Arial"/>
                <w:szCs w:val="22"/>
              </w:rPr>
              <w:t>8</w:t>
            </w:r>
          </w:p>
        </w:tc>
        <w:tc>
          <w:tcPr>
            <w:tcW w:w="1620" w:type="dxa"/>
            <w:tcBorders>
              <w:top w:val="single" w:sz="2" w:space="0" w:color="548DD4" w:themeColor="text2" w:themeTint="99"/>
              <w:bottom w:val="single" w:sz="2" w:space="0" w:color="548DD4" w:themeColor="text2" w:themeTint="99"/>
            </w:tcBorders>
            <w:shd w:val="clear" w:color="auto" w:fill="FFFFFF" w:themeFill="background1"/>
          </w:tcPr>
          <w:p w14:paraId="105DFC5B" w14:textId="5241BA5C" w:rsidR="009D1E3B" w:rsidRPr="008E3621" w:rsidRDefault="009D1E3B" w:rsidP="00C20BF9">
            <w:pPr>
              <w:jc w:val="center"/>
              <w:rPr>
                <w:rFonts w:cs="Arial"/>
                <w:szCs w:val="22"/>
              </w:rPr>
            </w:pPr>
            <w:r>
              <w:rPr>
                <w:rFonts w:cs="Arial"/>
                <w:szCs w:val="22"/>
              </w:rPr>
              <w:t>35,480</w:t>
            </w:r>
          </w:p>
        </w:tc>
      </w:tr>
      <w:tr w:rsidR="009D1E3B" w:rsidRPr="008E3621" w14:paraId="242CF406" w14:textId="77777777" w:rsidTr="0083414B">
        <w:tc>
          <w:tcPr>
            <w:tcW w:w="404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6B777F50" w14:textId="7A4FF762" w:rsidR="009D1E3B" w:rsidRPr="008E3621" w:rsidRDefault="009D1E3B" w:rsidP="00C20BF9">
            <w:pPr>
              <w:jc w:val="center"/>
              <w:rPr>
                <w:rFonts w:cs="Arial"/>
                <w:szCs w:val="22"/>
              </w:rPr>
            </w:pPr>
            <w:r>
              <w:rPr>
                <w:rFonts w:cs="Arial"/>
                <w:szCs w:val="22"/>
              </w:rPr>
              <w:t>Gas stations with convenience stores</w:t>
            </w:r>
          </w:p>
        </w:tc>
        <w:tc>
          <w:tcPr>
            <w:tcW w:w="1890" w:type="dxa"/>
            <w:tcBorders>
              <w:top w:val="single" w:sz="2" w:space="0" w:color="548DD4" w:themeColor="text2" w:themeTint="99"/>
              <w:bottom w:val="single" w:sz="24" w:space="0" w:color="548DD4" w:themeColor="text2" w:themeTint="99"/>
            </w:tcBorders>
            <w:shd w:val="clear" w:color="auto" w:fill="DAEEF3" w:themeFill="accent5" w:themeFillTint="33"/>
          </w:tcPr>
          <w:p w14:paraId="625C0C7B" w14:textId="73F5CFBC" w:rsidR="009D1E3B" w:rsidRPr="008E3621" w:rsidRDefault="009D1E3B" w:rsidP="00C20BF9">
            <w:pPr>
              <w:jc w:val="center"/>
              <w:rPr>
                <w:rFonts w:cs="Arial"/>
                <w:szCs w:val="22"/>
              </w:rPr>
            </w:pPr>
            <w:r>
              <w:rPr>
                <w:rFonts w:cs="Arial"/>
                <w:szCs w:val="22"/>
              </w:rPr>
              <w:t>6,089</w:t>
            </w:r>
          </w:p>
        </w:tc>
        <w:tc>
          <w:tcPr>
            <w:tcW w:w="1620" w:type="dxa"/>
            <w:tcBorders>
              <w:top w:val="single" w:sz="2" w:space="0" w:color="548DD4" w:themeColor="text2" w:themeTint="99"/>
              <w:bottom w:val="single" w:sz="24" w:space="0" w:color="548DD4" w:themeColor="text2" w:themeTint="99"/>
            </w:tcBorders>
            <w:shd w:val="clear" w:color="auto" w:fill="DAEEF3" w:themeFill="accent5" w:themeFillTint="33"/>
          </w:tcPr>
          <w:p w14:paraId="0057C499" w14:textId="1CD5D062" w:rsidR="009D1E3B" w:rsidRPr="008E3621" w:rsidRDefault="009D1E3B" w:rsidP="00C20BF9">
            <w:pPr>
              <w:jc w:val="center"/>
              <w:rPr>
                <w:rFonts w:cs="Arial"/>
                <w:szCs w:val="22"/>
              </w:rPr>
            </w:pPr>
            <w:r>
              <w:rPr>
                <w:rFonts w:cs="Arial"/>
                <w:szCs w:val="22"/>
              </w:rPr>
              <w:t>2</w:t>
            </w:r>
          </w:p>
        </w:tc>
        <w:tc>
          <w:tcPr>
            <w:tcW w:w="1620" w:type="dxa"/>
            <w:tcBorders>
              <w:top w:val="single" w:sz="2" w:space="0" w:color="548DD4" w:themeColor="text2" w:themeTint="99"/>
              <w:bottom w:val="single" w:sz="24" w:space="0" w:color="548DD4" w:themeColor="text2" w:themeTint="99"/>
            </w:tcBorders>
            <w:shd w:val="clear" w:color="auto" w:fill="DAEEF3" w:themeFill="accent5" w:themeFillTint="33"/>
          </w:tcPr>
          <w:p w14:paraId="421DC300" w14:textId="3E973C74" w:rsidR="009D1E3B" w:rsidRPr="008E3621" w:rsidRDefault="009D1E3B" w:rsidP="00C20BF9">
            <w:pPr>
              <w:jc w:val="center"/>
              <w:rPr>
                <w:rFonts w:cs="Arial"/>
                <w:szCs w:val="22"/>
              </w:rPr>
            </w:pPr>
            <w:r>
              <w:rPr>
                <w:rFonts w:cs="Arial"/>
                <w:szCs w:val="22"/>
              </w:rPr>
              <w:t>12,178</w:t>
            </w:r>
          </w:p>
        </w:tc>
      </w:tr>
    </w:tbl>
    <w:p w14:paraId="3FAB783B" w14:textId="77777777" w:rsidR="009D1E3B" w:rsidRPr="00541F62" w:rsidRDefault="009D1E3B" w:rsidP="00B845D5">
      <w:pPr>
        <w:rPr>
          <w:rFonts w:cs="Arial"/>
        </w:rPr>
      </w:pPr>
    </w:p>
    <w:p w14:paraId="7331CAD8" w14:textId="302205C8" w:rsidR="009D1E3B" w:rsidRPr="00541F62" w:rsidRDefault="008F4513" w:rsidP="008F4513">
      <w:pPr>
        <w:jc w:val="both"/>
        <w:rPr>
          <w:rFonts w:cs="Arial"/>
        </w:rPr>
      </w:pPr>
      <w:r>
        <w:rPr>
          <w:rFonts w:cs="Arial"/>
        </w:rPr>
        <w:t>The</w:t>
      </w:r>
      <w:r w:rsidR="009D1E3B" w:rsidRPr="00541F62">
        <w:rPr>
          <w:rFonts w:cs="Arial"/>
        </w:rPr>
        <w:t xml:space="preserve"> total potential energy savings</w:t>
      </w:r>
      <w:r>
        <w:rPr>
          <w:rFonts w:cs="Arial"/>
        </w:rPr>
        <w:t xml:space="preserve"> in California</w:t>
      </w:r>
      <w:r w:rsidR="00901223">
        <w:rPr>
          <w:rFonts w:cs="Arial"/>
        </w:rPr>
        <w:t xml:space="preserve"> is about 20</w:t>
      </w:r>
      <w:r w:rsidR="00DA2DAD">
        <w:rPr>
          <w:rFonts w:cs="Arial"/>
        </w:rPr>
        <w:t>7</w:t>
      </w:r>
      <w:r w:rsidR="009D1E3B" w:rsidRPr="00541F62">
        <w:rPr>
          <w:rFonts w:cs="Arial"/>
        </w:rPr>
        <w:t xml:space="preserve"> GWh/year if all the 9-12 watt fan assemblies were replaced. After program support, market adoption rate will improve, the market will transform, and when the technology becomes industry standard practice or </w:t>
      </w:r>
      <w:r w:rsidR="006E2760" w:rsidRPr="00541F62">
        <w:rPr>
          <w:rFonts w:cs="Arial"/>
        </w:rPr>
        <w:t>free ridership</w:t>
      </w:r>
      <w:r w:rsidR="009D1E3B" w:rsidRPr="00541F62">
        <w:rPr>
          <w:rFonts w:cs="Arial"/>
        </w:rPr>
        <w:t xml:space="preserve"> is too great, the program will not provide any additional benefit. This will be the limiting factor on the number of participants.</w:t>
      </w:r>
    </w:p>
    <w:p w14:paraId="0ACFEEC5" w14:textId="77777777" w:rsidR="00EF7829" w:rsidRPr="00541F62" w:rsidRDefault="00EF7829" w:rsidP="00B845D5">
      <w:pPr>
        <w:rPr>
          <w:rFonts w:cs="Arial"/>
        </w:rPr>
      </w:pPr>
    </w:p>
    <w:p w14:paraId="6607B170" w14:textId="6F0514AC" w:rsidR="00EF7829" w:rsidRDefault="008A3EBB" w:rsidP="00305310">
      <w:pPr>
        <w:jc w:val="both"/>
        <w:rPr>
          <w:rFonts w:cs="Arial"/>
        </w:rPr>
      </w:pPr>
      <w:r>
        <w:rPr>
          <w:rFonts w:cs="Arial"/>
        </w:rPr>
        <w:t>The emerging tech</w:t>
      </w:r>
      <w:r w:rsidR="00305310">
        <w:rPr>
          <w:rFonts w:cs="Arial"/>
        </w:rPr>
        <w:t>nology study evaluated 173 9-12W</w:t>
      </w:r>
      <w:r>
        <w:rPr>
          <w:rFonts w:cs="Arial"/>
        </w:rPr>
        <w:t xml:space="preserve"> fan motors</w:t>
      </w:r>
      <w:r w:rsidR="009C26F2">
        <w:rPr>
          <w:rFonts w:cs="Arial"/>
        </w:rPr>
        <w:t xml:space="preserve"> and the</w:t>
      </w:r>
      <w:r w:rsidR="00EF7829" w:rsidRPr="00541F62">
        <w:rPr>
          <w:rFonts w:cs="Arial"/>
        </w:rPr>
        <w:t xml:space="preserve"> </w:t>
      </w:r>
      <w:r w:rsidR="009C26F2">
        <w:rPr>
          <w:rFonts w:cs="Arial"/>
        </w:rPr>
        <w:t>above</w:t>
      </w:r>
      <w:r w:rsidR="00EF7829" w:rsidRPr="00541F62">
        <w:rPr>
          <w:rFonts w:cs="Arial"/>
        </w:rPr>
        <w:t xml:space="preserve"> </w:t>
      </w:r>
      <w:r w:rsidR="00541F62" w:rsidRPr="00541F62">
        <w:rPr>
          <w:rFonts w:cs="Arial"/>
        </w:rPr>
        <w:t>market estimates</w:t>
      </w:r>
      <w:r w:rsidR="009C26F2">
        <w:rPr>
          <w:rFonts w:cs="Arial"/>
        </w:rPr>
        <w:t xml:space="preserve"> do not</w:t>
      </w:r>
      <w:r w:rsidR="00EF7829" w:rsidRPr="00541F62">
        <w:rPr>
          <w:rFonts w:cs="Arial"/>
        </w:rPr>
        <w:t xml:space="preserve"> include </w:t>
      </w:r>
      <w:r w:rsidR="009C26F2">
        <w:rPr>
          <w:rFonts w:cs="Arial"/>
        </w:rPr>
        <w:t xml:space="preserve">savings from </w:t>
      </w:r>
      <w:r w:rsidR="00EF7829" w:rsidRPr="00541F62">
        <w:rPr>
          <w:rFonts w:cs="Arial"/>
        </w:rPr>
        <w:t>the smaller and larger fan categories (4-8W</w:t>
      </w:r>
      <w:r w:rsidR="008F4513">
        <w:rPr>
          <w:rFonts w:cs="Arial"/>
        </w:rPr>
        <w:t xml:space="preserve"> and 38-50W) which will soon become</w:t>
      </w:r>
      <w:r w:rsidR="00EF7829" w:rsidRPr="00541F62">
        <w:rPr>
          <w:rFonts w:cs="Arial"/>
        </w:rPr>
        <w:t xml:space="preserve"> </w:t>
      </w:r>
      <w:r w:rsidR="008F4513">
        <w:rPr>
          <w:rFonts w:cs="Arial"/>
        </w:rPr>
        <w:t>a</w:t>
      </w:r>
      <w:r w:rsidR="00EF7829" w:rsidRPr="00541F62">
        <w:rPr>
          <w:rFonts w:cs="Arial"/>
        </w:rPr>
        <w:t xml:space="preserve"> market when the manufacturer releases their forthcoming </w:t>
      </w:r>
      <w:r w:rsidR="008F4513">
        <w:rPr>
          <w:rFonts w:cs="Arial"/>
        </w:rPr>
        <w:t xml:space="preserve">smaller and bigger </w:t>
      </w:r>
      <w:r w:rsidR="00EF7829" w:rsidRPr="00541F62">
        <w:rPr>
          <w:rFonts w:cs="Arial"/>
        </w:rPr>
        <w:t>models.</w:t>
      </w:r>
      <w:r w:rsidR="00305310">
        <w:rPr>
          <w:rFonts w:cs="Arial"/>
        </w:rPr>
        <w:t xml:space="preserve"> These could potentially be included in future program or workpaper updates.</w:t>
      </w:r>
    </w:p>
    <w:p w14:paraId="550A3E22" w14:textId="77777777" w:rsidR="00E46A15" w:rsidRPr="00541F62" w:rsidRDefault="00E46A15" w:rsidP="00B845D5">
      <w:pPr>
        <w:rPr>
          <w:rFonts w:cs="Arial"/>
        </w:rPr>
      </w:pPr>
    </w:p>
    <w:p w14:paraId="0EC4B42C" w14:textId="77777777" w:rsidR="00F64ED0" w:rsidRPr="008E3621" w:rsidRDefault="00F64ED0" w:rsidP="00F27D7E">
      <w:pPr>
        <w:pStyle w:val="Heading1-Abstract"/>
        <w:shd w:val="clear" w:color="auto" w:fill="B8CCE4" w:themeFill="accent1" w:themeFillTint="66"/>
      </w:pPr>
      <w:r w:rsidRPr="008E3621">
        <w:lastRenderedPageBreak/>
        <w:t>Estimated Impact of the Measure on S</w:t>
      </w:r>
      <w:r w:rsidR="00533BD0" w:rsidRPr="008E3621">
        <w:t xml:space="preserve">tatewide </w:t>
      </w:r>
      <w:r w:rsidRPr="008E3621">
        <w:t>Energy Efficiency S</w:t>
      </w:r>
      <w:r w:rsidR="00533BD0" w:rsidRPr="008E3621">
        <w:t>avings.</w:t>
      </w:r>
    </w:p>
    <w:p w14:paraId="43144430" w14:textId="0886D6F4" w:rsidR="00864A45" w:rsidRDefault="00864A45" w:rsidP="00D767BD">
      <w:pPr>
        <w:rPr>
          <w:rFonts w:cs="Arial"/>
        </w:rPr>
      </w:pPr>
      <w:r>
        <w:rPr>
          <w:rFonts w:cs="Arial"/>
        </w:rPr>
        <w:t>Based on the emerging technology study:</w:t>
      </w:r>
    </w:p>
    <w:p w14:paraId="2B40C3C4" w14:textId="6CD50456" w:rsidR="00F64ED0" w:rsidRPr="00541F62" w:rsidRDefault="00CF1F37" w:rsidP="00D767BD">
      <w:pPr>
        <w:rPr>
          <w:rFonts w:cs="Arial"/>
        </w:rPr>
      </w:pPr>
      <w:r w:rsidRPr="00541F62">
        <w:rPr>
          <w:rFonts w:cs="Arial"/>
        </w:rPr>
        <w:t>Energy savings per fan assembly</w:t>
      </w:r>
      <w:r w:rsidR="00C47D58">
        <w:rPr>
          <w:rFonts w:cs="Arial"/>
        </w:rPr>
        <w:t xml:space="preserve"> (mix of mid and low temp)</w:t>
      </w:r>
      <w:r w:rsidRPr="00541F62">
        <w:rPr>
          <w:rFonts w:cs="Arial"/>
        </w:rPr>
        <w:t xml:space="preserve">: </w:t>
      </w:r>
      <w:r w:rsidR="00C47D58">
        <w:rPr>
          <w:rFonts w:cs="Arial"/>
        </w:rPr>
        <w:t>105</w:t>
      </w:r>
      <w:r w:rsidRPr="00541F62">
        <w:rPr>
          <w:rFonts w:cs="Arial"/>
        </w:rPr>
        <w:t>.</w:t>
      </w:r>
      <w:r w:rsidR="00C47D58">
        <w:rPr>
          <w:rFonts w:cs="Arial"/>
        </w:rPr>
        <w:t>7</w:t>
      </w:r>
      <w:r w:rsidRPr="00541F62">
        <w:rPr>
          <w:rFonts w:cs="Arial"/>
        </w:rPr>
        <w:t xml:space="preserve"> kWh/year </w:t>
      </w:r>
    </w:p>
    <w:p w14:paraId="36FEBC88" w14:textId="63ADCD93" w:rsidR="00CF1F37" w:rsidRPr="00541F62" w:rsidRDefault="00CF1F37" w:rsidP="00D767BD">
      <w:pPr>
        <w:rPr>
          <w:rFonts w:cs="Arial"/>
        </w:rPr>
      </w:pPr>
      <w:r w:rsidRPr="00541F62">
        <w:rPr>
          <w:rFonts w:cs="Arial"/>
        </w:rPr>
        <w:t xml:space="preserve">Demand reduction per fan assembly: </w:t>
      </w:r>
      <w:r w:rsidR="00C47D58">
        <w:rPr>
          <w:rFonts w:cs="Arial"/>
        </w:rPr>
        <w:t>12.</w:t>
      </w:r>
      <w:r w:rsidR="002C2610">
        <w:rPr>
          <w:rFonts w:cs="Arial"/>
        </w:rPr>
        <w:t>2</w:t>
      </w:r>
      <w:r w:rsidR="0032236F">
        <w:rPr>
          <w:rFonts w:cs="Arial"/>
        </w:rPr>
        <w:t>1</w:t>
      </w:r>
      <w:r w:rsidRPr="00541F62">
        <w:rPr>
          <w:rFonts w:cs="Arial"/>
        </w:rPr>
        <w:t xml:space="preserve"> watts</w:t>
      </w:r>
    </w:p>
    <w:p w14:paraId="65937470" w14:textId="76964C22" w:rsidR="00CF1F37" w:rsidRPr="00541F62" w:rsidRDefault="00CF1F37" w:rsidP="00D767BD">
      <w:pPr>
        <w:rPr>
          <w:rFonts w:cs="Arial"/>
        </w:rPr>
      </w:pPr>
      <w:r w:rsidRPr="00541F62">
        <w:rPr>
          <w:rFonts w:cs="Arial"/>
        </w:rPr>
        <w:t>Estimated 9-12 W fan market size in CA</w:t>
      </w:r>
      <w:r w:rsidRPr="0003012D">
        <w:rPr>
          <w:rFonts w:cs="Arial"/>
        </w:rPr>
        <w:t>: 1,965,000</w:t>
      </w:r>
    </w:p>
    <w:p w14:paraId="057A6DC9" w14:textId="6A17845A" w:rsidR="00CF1F37" w:rsidRPr="00541F62" w:rsidRDefault="00CF1F37" w:rsidP="00D767BD">
      <w:pPr>
        <w:rPr>
          <w:rFonts w:cs="Arial"/>
        </w:rPr>
      </w:pPr>
      <w:r w:rsidRPr="00541F62">
        <w:rPr>
          <w:rFonts w:cs="Arial"/>
        </w:rPr>
        <w:t xml:space="preserve">Total estimated energy savings potential (100% market penetration): </w:t>
      </w:r>
      <w:r w:rsidR="00901223">
        <w:rPr>
          <w:rFonts w:cs="Arial"/>
        </w:rPr>
        <w:t>20</w:t>
      </w:r>
      <w:r w:rsidR="002C2610">
        <w:rPr>
          <w:rFonts w:cs="Arial"/>
        </w:rPr>
        <w:t>7</w:t>
      </w:r>
      <w:r w:rsidRPr="00541F62">
        <w:rPr>
          <w:rFonts w:cs="Arial"/>
        </w:rPr>
        <w:t xml:space="preserve"> GWh/year</w:t>
      </w:r>
    </w:p>
    <w:p w14:paraId="63999D67" w14:textId="7A7A1DEC" w:rsidR="00CF1F37" w:rsidRPr="00541F62" w:rsidRDefault="00CF1F37" w:rsidP="00D767BD">
      <w:pPr>
        <w:rPr>
          <w:rFonts w:cs="Arial"/>
        </w:rPr>
      </w:pPr>
      <w:r w:rsidRPr="00541F62">
        <w:rPr>
          <w:rFonts w:cs="Arial"/>
        </w:rPr>
        <w:t xml:space="preserve">Total estimated demand reduction potential (100% market penetration): </w:t>
      </w:r>
      <w:r w:rsidR="002C2610">
        <w:rPr>
          <w:rFonts w:cs="Arial"/>
        </w:rPr>
        <w:t>2</w:t>
      </w:r>
      <w:r w:rsidR="0032236F">
        <w:rPr>
          <w:rFonts w:cs="Arial"/>
        </w:rPr>
        <w:t>4</w:t>
      </w:r>
      <w:r w:rsidRPr="00541F62">
        <w:rPr>
          <w:rFonts w:cs="Arial"/>
        </w:rPr>
        <w:t>.</w:t>
      </w:r>
      <w:r w:rsidR="0032236F">
        <w:rPr>
          <w:rFonts w:cs="Arial"/>
        </w:rPr>
        <w:t>0</w:t>
      </w:r>
      <w:r w:rsidRPr="00541F62">
        <w:rPr>
          <w:rFonts w:cs="Arial"/>
        </w:rPr>
        <w:t xml:space="preserve"> MW</w:t>
      </w:r>
    </w:p>
    <w:p w14:paraId="3DA7C79D" w14:textId="77777777" w:rsidR="00A03A78" w:rsidRDefault="00A03A78" w:rsidP="00D767BD">
      <w:pPr>
        <w:rPr>
          <w:rFonts w:cs="Arial"/>
        </w:rPr>
      </w:pPr>
    </w:p>
    <w:p w14:paraId="132C8C94" w14:textId="35161D19" w:rsidR="00541F62" w:rsidRDefault="00541F62" w:rsidP="00305310">
      <w:pPr>
        <w:jc w:val="both"/>
        <w:rPr>
          <w:rFonts w:cs="Arial"/>
        </w:rPr>
      </w:pPr>
      <w:r>
        <w:rPr>
          <w:rFonts w:cs="Arial"/>
        </w:rPr>
        <w:t>This savings potential is for the entire available California market. If reasonable, a cutoff point of market penetration when the technology becomes ISP could improve the estimated impact of the measure on statewide energy efficiency savings. For instance, assuming that the technology becomes ISP at 50% market uptake could provide a point that program support could end and thus reduce the estimated EE program savings</w:t>
      </w:r>
      <w:r w:rsidR="00305310">
        <w:rPr>
          <w:rFonts w:cs="Arial"/>
        </w:rPr>
        <w:t xml:space="preserve"> potential</w:t>
      </w:r>
      <w:r>
        <w:rPr>
          <w:rFonts w:cs="Arial"/>
        </w:rPr>
        <w:t>.</w:t>
      </w:r>
    </w:p>
    <w:p w14:paraId="61CF7122" w14:textId="77777777" w:rsidR="00541F62" w:rsidRPr="00541F62" w:rsidRDefault="00541F62" w:rsidP="00305310">
      <w:pPr>
        <w:jc w:val="both"/>
        <w:rPr>
          <w:rFonts w:cs="Arial"/>
        </w:rPr>
      </w:pPr>
    </w:p>
    <w:p w14:paraId="6EA3107D" w14:textId="381ADCE5" w:rsidR="00B845D5" w:rsidRPr="00541F62" w:rsidRDefault="00A03A78" w:rsidP="00305310">
      <w:pPr>
        <w:jc w:val="both"/>
        <w:rPr>
          <w:rFonts w:cs="Arial"/>
        </w:rPr>
      </w:pPr>
      <w:r w:rsidRPr="00541F62">
        <w:rPr>
          <w:rFonts w:cs="Arial"/>
        </w:rPr>
        <w:t>These savings are estimates calculated in the Emerging Technologies field case study using various sources for market size figures. The savings potential would increase by 2-3 times if the smaller and larger fan sizes are included once the products become available.</w:t>
      </w:r>
    </w:p>
    <w:p w14:paraId="5B8FBFDA" w14:textId="4987559F" w:rsidR="002E256D" w:rsidRPr="008E3621" w:rsidRDefault="002E256D" w:rsidP="00F27D7E">
      <w:pPr>
        <w:pStyle w:val="Heading1-Abstract"/>
        <w:shd w:val="clear" w:color="auto" w:fill="B8CCE4" w:themeFill="accent1" w:themeFillTint="66"/>
      </w:pPr>
      <w:r w:rsidRPr="008E3621">
        <w:t>Applicable DEER</w:t>
      </w:r>
      <w:r w:rsidR="00927B09">
        <w:t xml:space="preserve"> &amp; CPUC Guidance</w:t>
      </w:r>
    </w:p>
    <w:p w14:paraId="3349D9FD" w14:textId="41ECDD4F" w:rsidR="005D156A" w:rsidRPr="00541F62" w:rsidRDefault="00BA0A11" w:rsidP="00305310">
      <w:pPr>
        <w:jc w:val="both"/>
        <w:rPr>
          <w:rFonts w:cs="Arial"/>
          <w:szCs w:val="22"/>
        </w:rPr>
      </w:pPr>
      <w:r w:rsidRPr="00541F62">
        <w:rPr>
          <w:rFonts w:cs="Arial"/>
          <w:szCs w:val="22"/>
        </w:rPr>
        <w:t>There are not relevant DEER measure that relate to evaporator fan motors. However</w:t>
      </w:r>
      <w:r w:rsidR="005034E1">
        <w:rPr>
          <w:rFonts w:cs="Arial"/>
          <w:szCs w:val="22"/>
        </w:rPr>
        <w:t>,</w:t>
      </w:r>
      <w:r w:rsidRPr="00541F62">
        <w:rPr>
          <w:rFonts w:cs="Arial"/>
          <w:szCs w:val="22"/>
        </w:rPr>
        <w:t xml:space="preserve"> the DEER operating hours of equipment for</w:t>
      </w:r>
      <w:r w:rsidR="005D156A" w:rsidRPr="00541F62">
        <w:rPr>
          <w:rFonts w:cs="Arial"/>
          <w:szCs w:val="22"/>
        </w:rPr>
        <w:t xml:space="preserve"> refrigerated storage includes the 24/7/365 type operation that justify the 8,760 hours. </w:t>
      </w:r>
    </w:p>
    <w:p w14:paraId="337E14CC" w14:textId="77777777" w:rsidR="005D156A" w:rsidRPr="00541F62" w:rsidRDefault="005D156A" w:rsidP="00305310">
      <w:pPr>
        <w:jc w:val="both"/>
        <w:rPr>
          <w:rFonts w:cs="Arial"/>
          <w:szCs w:val="22"/>
        </w:rPr>
      </w:pPr>
    </w:p>
    <w:p w14:paraId="79DF7356" w14:textId="25B70ECC" w:rsidR="00927B09" w:rsidRPr="00541F62" w:rsidRDefault="00435D39" w:rsidP="00305310">
      <w:pPr>
        <w:jc w:val="both"/>
        <w:rPr>
          <w:rFonts w:cs="Arial"/>
          <w:szCs w:val="22"/>
        </w:rPr>
      </w:pPr>
      <w:r>
        <w:rPr>
          <w:rFonts w:cs="Arial"/>
          <w:szCs w:val="22"/>
        </w:rPr>
        <w:t xml:space="preserve">Title 24 2013 (Section120.6(b)) states that </w:t>
      </w:r>
      <w:r w:rsidR="00305310">
        <w:rPr>
          <w:rFonts w:cs="Arial"/>
          <w:szCs w:val="22"/>
        </w:rPr>
        <w:t>for refrigerated warehouses “single phase fan</w:t>
      </w:r>
      <w:r>
        <w:rPr>
          <w:rFonts w:cs="Arial"/>
          <w:szCs w:val="22"/>
        </w:rPr>
        <w:t xml:space="preserve"> motor</w:t>
      </w:r>
      <w:r w:rsidR="00305310">
        <w:rPr>
          <w:rFonts w:cs="Arial"/>
          <w:szCs w:val="22"/>
        </w:rPr>
        <w:t>s</w:t>
      </w:r>
      <w:r>
        <w:rPr>
          <w:rFonts w:cs="Arial"/>
          <w:szCs w:val="22"/>
        </w:rPr>
        <w:t xml:space="preserve"> less than 1 hp and less than 460 Volts in newly installed evaporators shall be el</w:t>
      </w:r>
      <w:r w:rsidR="00062105">
        <w:rPr>
          <w:rFonts w:cs="Arial"/>
          <w:szCs w:val="22"/>
        </w:rPr>
        <w:t>ectronically commutated motors”</w:t>
      </w:r>
      <w:r>
        <w:rPr>
          <w:rFonts w:cs="Arial"/>
          <w:szCs w:val="22"/>
        </w:rPr>
        <w:t>.</w:t>
      </w:r>
      <w:r w:rsidR="005D156A" w:rsidRPr="00541F62">
        <w:rPr>
          <w:rFonts w:cs="Arial"/>
          <w:szCs w:val="22"/>
        </w:rPr>
        <w:t xml:space="preserve"> With this assumption and knowing the fact that in the real world there is still a percentage of shaded poles and permanent s</w:t>
      </w:r>
      <w:r w:rsidR="00541F62" w:rsidRPr="00541F62">
        <w:rPr>
          <w:rFonts w:cs="Arial"/>
          <w:szCs w:val="22"/>
        </w:rPr>
        <w:t>p</w:t>
      </w:r>
      <w:r w:rsidR="005D156A" w:rsidRPr="00541F62">
        <w:rPr>
          <w:rFonts w:cs="Arial"/>
          <w:szCs w:val="22"/>
        </w:rPr>
        <w:t>lit capacitor motors</w:t>
      </w:r>
      <w:r w:rsidR="00305310">
        <w:rPr>
          <w:rFonts w:cs="Arial"/>
          <w:szCs w:val="22"/>
        </w:rPr>
        <w:t>,</w:t>
      </w:r>
      <w:r w:rsidR="005D156A" w:rsidRPr="00541F62">
        <w:rPr>
          <w:rFonts w:cs="Arial"/>
          <w:szCs w:val="22"/>
        </w:rPr>
        <w:t xml:space="preserve"> the energy savings </w:t>
      </w:r>
      <w:r w:rsidR="00541F62">
        <w:rPr>
          <w:rFonts w:cs="Arial"/>
          <w:szCs w:val="22"/>
        </w:rPr>
        <w:t xml:space="preserve">will be slightly greater </w:t>
      </w:r>
      <w:r w:rsidR="001A5770">
        <w:rPr>
          <w:rFonts w:cs="Arial"/>
          <w:szCs w:val="22"/>
        </w:rPr>
        <w:t xml:space="preserve">than used in </w:t>
      </w:r>
      <w:r w:rsidR="00541F62">
        <w:rPr>
          <w:rFonts w:cs="Arial"/>
          <w:szCs w:val="22"/>
        </w:rPr>
        <w:t>program claims.</w:t>
      </w:r>
    </w:p>
    <w:p w14:paraId="18B5A19C" w14:textId="77777777" w:rsidR="00773C63" w:rsidRPr="008E3621" w:rsidRDefault="00773C63" w:rsidP="00773C63">
      <w:pPr>
        <w:rPr>
          <w:rFonts w:cs="Arial"/>
          <w:i/>
          <w:color w:val="FF0000"/>
        </w:rPr>
      </w:pPr>
    </w:p>
    <w:p w14:paraId="0B058AA2" w14:textId="77777777" w:rsidR="00773C63" w:rsidRPr="008E3621" w:rsidRDefault="00773C63" w:rsidP="00773C63">
      <w:pPr>
        <w:rPr>
          <w:rFonts w:cs="Arial"/>
          <w:i/>
          <w:color w:val="FF0000"/>
        </w:rPr>
      </w:pPr>
    </w:p>
    <w:p w14:paraId="6EA41BBA" w14:textId="77777777" w:rsidR="00773C63" w:rsidRPr="008E3621" w:rsidRDefault="00773C63" w:rsidP="00773C63">
      <w:pPr>
        <w:rPr>
          <w:rFonts w:cs="Arial"/>
          <w:i/>
          <w:color w:val="FF0000"/>
        </w:rPr>
      </w:pPr>
    </w:p>
    <w:p w14:paraId="28C89539" w14:textId="77777777" w:rsidR="00773C63" w:rsidRPr="008E3621" w:rsidRDefault="00773C63" w:rsidP="00773C63">
      <w:pPr>
        <w:rPr>
          <w:rFonts w:cs="Arial"/>
          <w:i/>
          <w:color w:val="FF0000"/>
        </w:rPr>
      </w:pPr>
    </w:p>
    <w:p w14:paraId="32117FDA" w14:textId="77777777" w:rsidR="00773C63" w:rsidRPr="008E3621" w:rsidRDefault="00773C63" w:rsidP="00773C63">
      <w:pPr>
        <w:rPr>
          <w:rFonts w:cs="Arial"/>
          <w:i/>
          <w:color w:val="FF0000"/>
        </w:rPr>
      </w:pPr>
    </w:p>
    <w:p w14:paraId="6462A75C" w14:textId="77777777" w:rsidR="00F27D7E" w:rsidRPr="008E3621" w:rsidRDefault="00F27D7E" w:rsidP="00F27D7E">
      <w:pPr>
        <w:rPr>
          <w:rFonts w:cs="Arial"/>
          <w:i/>
          <w:color w:val="FF0000"/>
        </w:rPr>
      </w:pPr>
    </w:p>
    <w:p w14:paraId="37BB541B" w14:textId="110B6716" w:rsidR="00E976B0" w:rsidRDefault="00E976B0" w:rsidP="00F27D7E">
      <w:pPr>
        <w:rPr>
          <w:rFonts w:cs="Arial"/>
          <w:i/>
          <w:color w:val="FF0000"/>
        </w:rPr>
      </w:pPr>
    </w:p>
    <w:p w14:paraId="42788220" w14:textId="77777777" w:rsidR="00E976B0" w:rsidRPr="00E976B0" w:rsidRDefault="00E976B0" w:rsidP="00E976B0">
      <w:pPr>
        <w:rPr>
          <w:rFonts w:cs="Arial"/>
        </w:rPr>
      </w:pPr>
    </w:p>
    <w:p w14:paraId="35390E6E" w14:textId="77777777" w:rsidR="00E976B0" w:rsidRPr="00E976B0" w:rsidRDefault="00E976B0" w:rsidP="00E976B0">
      <w:pPr>
        <w:rPr>
          <w:rFonts w:cs="Arial"/>
        </w:rPr>
      </w:pPr>
    </w:p>
    <w:p w14:paraId="292099D4" w14:textId="77777777" w:rsidR="00E976B0" w:rsidRPr="00E976B0" w:rsidRDefault="00E976B0" w:rsidP="00E976B0">
      <w:pPr>
        <w:rPr>
          <w:rFonts w:cs="Arial"/>
        </w:rPr>
      </w:pPr>
    </w:p>
    <w:p w14:paraId="1B811473" w14:textId="77777777" w:rsidR="00E976B0" w:rsidRPr="00E976B0" w:rsidRDefault="00E976B0" w:rsidP="00E976B0">
      <w:pPr>
        <w:rPr>
          <w:rFonts w:cs="Arial"/>
        </w:rPr>
      </w:pPr>
    </w:p>
    <w:p w14:paraId="394796DC" w14:textId="77777777" w:rsidR="00E976B0" w:rsidRPr="00E976B0" w:rsidRDefault="00E976B0" w:rsidP="00E976B0">
      <w:pPr>
        <w:rPr>
          <w:rFonts w:cs="Arial"/>
        </w:rPr>
      </w:pPr>
    </w:p>
    <w:p w14:paraId="7D7E62AC" w14:textId="3FE0A672" w:rsidR="00E976B0" w:rsidRDefault="00E976B0" w:rsidP="00E976B0">
      <w:pPr>
        <w:tabs>
          <w:tab w:val="left" w:pos="2310"/>
        </w:tabs>
        <w:rPr>
          <w:rFonts w:cs="Arial"/>
        </w:rPr>
      </w:pPr>
      <w:r>
        <w:rPr>
          <w:rFonts w:cs="Arial"/>
        </w:rPr>
        <w:tab/>
      </w:r>
    </w:p>
    <w:p w14:paraId="041E2525" w14:textId="1383BC6F" w:rsidR="00773C63" w:rsidRPr="00E976B0" w:rsidRDefault="00E976B0" w:rsidP="00E976B0">
      <w:pPr>
        <w:tabs>
          <w:tab w:val="left" w:pos="2310"/>
        </w:tabs>
        <w:rPr>
          <w:rFonts w:cs="Arial"/>
        </w:rPr>
        <w:sectPr w:rsidR="00773C63" w:rsidRPr="00E976B0">
          <w:headerReference w:type="default" r:id="rId17"/>
          <w:endnotePr>
            <w:numFmt w:val="decimal"/>
          </w:endnotePr>
          <w:type w:val="continuous"/>
          <w:pgSz w:w="12240" w:h="15840"/>
          <w:pgMar w:top="1440" w:right="1440" w:bottom="1440" w:left="1440" w:header="720" w:footer="720" w:gutter="0"/>
          <w:pgNumType w:start="1" w:chapStyle="1"/>
          <w:cols w:space="720"/>
          <w:docGrid w:linePitch="360"/>
        </w:sectPr>
      </w:pPr>
      <w:r>
        <w:rPr>
          <w:rFonts w:cs="Arial"/>
        </w:rPr>
        <w:tab/>
      </w:r>
    </w:p>
    <w:p w14:paraId="289667ED" w14:textId="77777777" w:rsidR="00533BD0" w:rsidRPr="008E3621" w:rsidRDefault="00AD2324" w:rsidP="00F27D7E">
      <w:pPr>
        <w:pStyle w:val="Heading1-Abstract"/>
        <w:shd w:val="clear" w:color="auto" w:fill="B8CCE4" w:themeFill="accent1" w:themeFillTint="66"/>
      </w:pPr>
      <w:r w:rsidRPr="008E3621">
        <w:lastRenderedPageBreak/>
        <w:t>Proposed Measure Parameter</w:t>
      </w:r>
      <w:r w:rsidR="00657058" w:rsidRPr="008E3621">
        <w:t xml:space="preserve"> Values, </w:t>
      </w:r>
      <w:r w:rsidR="00773C63" w:rsidRPr="008E3621">
        <w:t>Methodology</w:t>
      </w:r>
      <w:r w:rsidR="00657058" w:rsidRPr="008E3621">
        <w:t>,</w:t>
      </w:r>
      <w:r w:rsidR="00BB22C2" w:rsidRPr="008E3621">
        <w:t xml:space="preserve"> </w:t>
      </w:r>
      <w:r w:rsidR="009F2336" w:rsidRPr="008E3621">
        <w:t xml:space="preserve">and </w:t>
      </w:r>
      <w:r w:rsidR="00657058" w:rsidRPr="008E3621">
        <w:t xml:space="preserve">Data </w:t>
      </w:r>
      <w:r w:rsidRPr="008E3621">
        <w:t>Sources</w:t>
      </w:r>
    </w:p>
    <w:p w14:paraId="7E87BEA3" w14:textId="5BA7635A" w:rsidR="00B3518B" w:rsidRDefault="00B3518B" w:rsidP="0050707B">
      <w:pPr>
        <w:pStyle w:val="ListParagraph"/>
        <w:ind w:left="0"/>
        <w:jc w:val="both"/>
        <w:rPr>
          <w:rFonts w:ascii="Arial" w:hAnsi="Arial" w:cs="Arial"/>
          <w:iCs/>
          <w:sz w:val="22"/>
          <w:szCs w:val="22"/>
        </w:rPr>
      </w:pPr>
      <w:r>
        <w:rPr>
          <w:rFonts w:ascii="Arial" w:hAnsi="Arial" w:cs="Arial"/>
          <w:iCs/>
          <w:sz w:val="22"/>
          <w:szCs w:val="22"/>
        </w:rPr>
        <w:t>All energy savings, demand reduction, market potential, and measure cost figures were developed as part of an emerging technologies study. The energy savings and demand reduction were established by performing an M&amp;V study at a supermarket that included baseline and post-implementation monitoring at 173 evaporator fan</w:t>
      </w:r>
      <w:r w:rsidR="001F2884">
        <w:rPr>
          <w:rFonts w:ascii="Arial" w:hAnsi="Arial" w:cs="Arial"/>
          <w:iCs/>
          <w:sz w:val="22"/>
          <w:szCs w:val="22"/>
        </w:rPr>
        <w:t xml:space="preserve"> motor assemblies</w:t>
      </w:r>
      <w:r>
        <w:rPr>
          <w:rFonts w:ascii="Arial" w:hAnsi="Arial" w:cs="Arial"/>
          <w:iCs/>
          <w:sz w:val="22"/>
          <w:szCs w:val="22"/>
        </w:rPr>
        <w:t xml:space="preserve"> which were distributed roughly evenly between closed freezer cases and open mid-temp refrigerated cases. Due to the large number of fans and consistent savings across every instance, the confidence level for the energy metrics is high. The variance in savings across the fans was very low, resulting in high accuracy and reliability of savings estimates. This high level of confidence in a single average savings per fan suggests that a deemed rebate measure is appropriate. Additionally, these savings were validated by previous lab testing as reported by Oak Ridge National Labs in a separate study</w:t>
      </w:r>
      <w:r w:rsidR="001F2884">
        <w:rPr>
          <w:rFonts w:ascii="Arial" w:hAnsi="Arial" w:cs="Arial"/>
          <w:iCs/>
          <w:sz w:val="22"/>
          <w:szCs w:val="22"/>
        </w:rPr>
        <w:t xml:space="preserve"> (September 2015)</w:t>
      </w:r>
      <w:r>
        <w:rPr>
          <w:rFonts w:ascii="Arial" w:hAnsi="Arial" w:cs="Arial"/>
          <w:iCs/>
          <w:sz w:val="22"/>
          <w:szCs w:val="22"/>
        </w:rPr>
        <w:t>.</w:t>
      </w:r>
      <w:r w:rsidR="00DA2DAD">
        <w:rPr>
          <w:rFonts w:ascii="Arial" w:hAnsi="Arial" w:cs="Arial"/>
          <w:iCs/>
          <w:sz w:val="22"/>
          <w:szCs w:val="22"/>
        </w:rPr>
        <w:t xml:space="preserve"> The workpaper will show the different values found in the ET and the ORNL results)</w:t>
      </w:r>
    </w:p>
    <w:p w14:paraId="77201737" w14:textId="46BB8F96" w:rsidR="00E46A15" w:rsidRDefault="00E46A15" w:rsidP="0050707B">
      <w:pPr>
        <w:pStyle w:val="ListParagraph"/>
        <w:ind w:left="0"/>
        <w:jc w:val="both"/>
        <w:rPr>
          <w:rFonts w:ascii="Arial" w:hAnsi="Arial" w:cs="Arial"/>
          <w:iCs/>
          <w:sz w:val="22"/>
          <w:szCs w:val="22"/>
        </w:rPr>
      </w:pPr>
    </w:p>
    <w:p w14:paraId="5FC5C518" w14:textId="466A65FD" w:rsidR="00E46A15" w:rsidRDefault="00E46A15" w:rsidP="00D8638E">
      <w:pPr>
        <w:pStyle w:val="Caption"/>
        <w:keepNext/>
        <w:jc w:val="center"/>
      </w:pPr>
      <w:r>
        <w:t xml:space="preserve">Table </w:t>
      </w:r>
      <w:fldSimple w:instr=" SEQ Table \* ARABIC ">
        <w:r w:rsidR="00053957">
          <w:rPr>
            <w:noProof/>
          </w:rPr>
          <w:t>4</w:t>
        </w:r>
      </w:fldSimple>
      <w:r>
        <w:t xml:space="preserve"> – ORNL study per unit findings</w:t>
      </w:r>
      <w:r w:rsidR="00F02A20">
        <w:t xml:space="preserve"> (N=2, single store)</w:t>
      </w:r>
    </w:p>
    <w:tbl>
      <w:tblPr>
        <w:tblStyle w:val="TableGrid"/>
        <w:tblW w:w="3575"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1574"/>
        <w:gridCol w:w="2001"/>
      </w:tblGrid>
      <w:tr w:rsidR="00F02A20" w:rsidRPr="008E3621" w14:paraId="21B0644E" w14:textId="77777777" w:rsidTr="00D8638E">
        <w:trPr>
          <w:jc w:val="center"/>
        </w:trPr>
        <w:tc>
          <w:tcPr>
            <w:tcW w:w="1574"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53806ABD" w14:textId="47699E72" w:rsidR="00F02A20" w:rsidRPr="008E3621" w:rsidRDefault="00F02A20" w:rsidP="00D8638E">
            <w:pPr>
              <w:rPr>
                <w:rFonts w:cs="Arial"/>
                <w:b/>
              </w:rPr>
            </w:pPr>
            <w:r>
              <w:rPr>
                <w:rFonts w:cs="Arial"/>
                <w:b/>
              </w:rPr>
              <w:t>Motor type</w:t>
            </w:r>
          </w:p>
        </w:tc>
        <w:tc>
          <w:tcPr>
            <w:tcW w:w="2001"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008BBC11" w14:textId="0BD7F1DC" w:rsidR="00F02A20" w:rsidRPr="008E3621" w:rsidRDefault="00F02A20" w:rsidP="00D8638E">
            <w:pPr>
              <w:rPr>
                <w:rFonts w:cs="Arial"/>
                <w:b/>
              </w:rPr>
            </w:pPr>
            <w:r>
              <w:rPr>
                <w:rFonts w:cs="Arial"/>
                <w:b/>
              </w:rPr>
              <w:t>Input power [W]</w:t>
            </w:r>
          </w:p>
        </w:tc>
      </w:tr>
      <w:tr w:rsidR="00F02A20" w:rsidRPr="008E3621" w14:paraId="6E9DAA88" w14:textId="77777777" w:rsidTr="00D8638E">
        <w:trPr>
          <w:jc w:val="center"/>
        </w:trPr>
        <w:tc>
          <w:tcPr>
            <w:tcW w:w="1574" w:type="dxa"/>
            <w:tcBorders>
              <w:top w:val="single" w:sz="24" w:space="0" w:color="548DD4" w:themeColor="text2" w:themeTint="99"/>
              <w:bottom w:val="single" w:sz="6" w:space="0" w:color="548DD4" w:themeColor="text2" w:themeTint="99"/>
            </w:tcBorders>
            <w:shd w:val="clear" w:color="auto" w:fill="FFFFFF" w:themeFill="background1"/>
            <w:vAlign w:val="center"/>
          </w:tcPr>
          <w:p w14:paraId="0704C723" w14:textId="6BF23390" w:rsidR="00F02A20" w:rsidRPr="008E3621" w:rsidRDefault="00F02A20" w:rsidP="00D8638E">
            <w:pPr>
              <w:rPr>
                <w:rFonts w:cs="Arial"/>
                <w:szCs w:val="22"/>
              </w:rPr>
            </w:pPr>
            <w:r>
              <w:rPr>
                <w:rFonts w:cs="Arial"/>
                <w:szCs w:val="22"/>
              </w:rPr>
              <w:t>Shaded pole</w:t>
            </w:r>
          </w:p>
        </w:tc>
        <w:tc>
          <w:tcPr>
            <w:tcW w:w="2001" w:type="dxa"/>
            <w:tcBorders>
              <w:top w:val="single" w:sz="24" w:space="0" w:color="548DD4" w:themeColor="text2" w:themeTint="99"/>
              <w:bottom w:val="single" w:sz="6" w:space="0" w:color="548DD4" w:themeColor="text2" w:themeTint="99"/>
            </w:tcBorders>
            <w:shd w:val="clear" w:color="auto" w:fill="FFFFFF" w:themeFill="background1"/>
            <w:vAlign w:val="center"/>
          </w:tcPr>
          <w:p w14:paraId="5D584DC9" w14:textId="7ABF7CED" w:rsidR="00F02A20" w:rsidRPr="008E3621" w:rsidRDefault="00F02A20" w:rsidP="00305310">
            <w:pPr>
              <w:tabs>
                <w:tab w:val="center" w:pos="1223"/>
                <w:tab w:val="right" w:pos="2446"/>
              </w:tabs>
              <w:jc w:val="center"/>
              <w:rPr>
                <w:rFonts w:cs="Arial"/>
                <w:szCs w:val="22"/>
              </w:rPr>
            </w:pPr>
            <w:r>
              <w:rPr>
                <w:rFonts w:cs="Arial"/>
                <w:szCs w:val="22"/>
              </w:rPr>
              <w:t>60.0</w:t>
            </w:r>
          </w:p>
        </w:tc>
      </w:tr>
      <w:tr w:rsidR="00F02A20" w:rsidRPr="008E3621" w14:paraId="220A1AC5" w14:textId="77777777" w:rsidTr="00D8638E">
        <w:trPr>
          <w:jc w:val="center"/>
        </w:trPr>
        <w:tc>
          <w:tcPr>
            <w:tcW w:w="1574"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31A41DFD" w14:textId="6D04377F" w:rsidR="00F02A20" w:rsidRPr="008E3621" w:rsidRDefault="00F02A20" w:rsidP="00D8638E">
            <w:pPr>
              <w:rPr>
                <w:rFonts w:cs="Arial"/>
                <w:szCs w:val="22"/>
              </w:rPr>
            </w:pPr>
            <w:r>
              <w:rPr>
                <w:rFonts w:cs="Arial"/>
                <w:szCs w:val="22"/>
              </w:rPr>
              <w:t>ECM, old</w:t>
            </w:r>
          </w:p>
        </w:tc>
        <w:tc>
          <w:tcPr>
            <w:tcW w:w="2001"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001F530C" w14:textId="592793D8" w:rsidR="00F02A20" w:rsidRPr="008E3621" w:rsidRDefault="00F02A20" w:rsidP="00305310">
            <w:pPr>
              <w:jc w:val="center"/>
              <w:rPr>
                <w:rFonts w:cs="Arial"/>
                <w:szCs w:val="22"/>
              </w:rPr>
            </w:pPr>
            <w:r>
              <w:rPr>
                <w:rFonts w:cs="Arial"/>
                <w:szCs w:val="22"/>
              </w:rPr>
              <w:t>22.6</w:t>
            </w:r>
          </w:p>
        </w:tc>
      </w:tr>
      <w:tr w:rsidR="00F02A20" w:rsidRPr="008E3621" w14:paraId="00F67204" w14:textId="77777777" w:rsidTr="00D8638E">
        <w:trPr>
          <w:jc w:val="center"/>
        </w:trPr>
        <w:tc>
          <w:tcPr>
            <w:tcW w:w="1574" w:type="dxa"/>
            <w:tcBorders>
              <w:top w:val="single" w:sz="6" w:space="0" w:color="548DD4" w:themeColor="text2" w:themeTint="99"/>
              <w:bottom w:val="single" w:sz="4" w:space="0" w:color="auto"/>
            </w:tcBorders>
            <w:shd w:val="clear" w:color="auto" w:fill="FFFFFF" w:themeFill="background1"/>
            <w:vAlign w:val="center"/>
          </w:tcPr>
          <w:p w14:paraId="78B1C99C" w14:textId="74B14329" w:rsidR="00F02A20" w:rsidRPr="008E3621" w:rsidRDefault="00F02A20" w:rsidP="00D8638E">
            <w:pPr>
              <w:rPr>
                <w:rFonts w:cs="Arial"/>
                <w:szCs w:val="22"/>
              </w:rPr>
            </w:pPr>
            <w:r>
              <w:rPr>
                <w:rFonts w:cs="Arial"/>
                <w:szCs w:val="22"/>
              </w:rPr>
              <w:t>ECM, new</w:t>
            </w:r>
          </w:p>
        </w:tc>
        <w:tc>
          <w:tcPr>
            <w:tcW w:w="2001" w:type="dxa"/>
            <w:tcBorders>
              <w:top w:val="single" w:sz="6" w:space="0" w:color="548DD4" w:themeColor="text2" w:themeTint="99"/>
              <w:bottom w:val="single" w:sz="4" w:space="0" w:color="auto"/>
            </w:tcBorders>
            <w:shd w:val="clear" w:color="auto" w:fill="FFFFFF" w:themeFill="background1"/>
            <w:vAlign w:val="center"/>
          </w:tcPr>
          <w:p w14:paraId="579061E7" w14:textId="5E5FA021" w:rsidR="00F02A20" w:rsidRPr="008E3621" w:rsidRDefault="00F02A20" w:rsidP="00305310">
            <w:pPr>
              <w:jc w:val="center"/>
              <w:rPr>
                <w:rFonts w:cs="Arial"/>
                <w:szCs w:val="22"/>
              </w:rPr>
            </w:pPr>
            <w:r>
              <w:rPr>
                <w:rFonts w:cs="Arial"/>
                <w:szCs w:val="22"/>
              </w:rPr>
              <w:t>18.2</w:t>
            </w:r>
          </w:p>
        </w:tc>
      </w:tr>
      <w:tr w:rsidR="00F02A20" w:rsidRPr="008E3621" w14:paraId="0ACC1B15" w14:textId="77777777" w:rsidTr="00D8638E">
        <w:trPr>
          <w:jc w:val="center"/>
        </w:trPr>
        <w:tc>
          <w:tcPr>
            <w:tcW w:w="1574" w:type="dxa"/>
            <w:tcBorders>
              <w:top w:val="single" w:sz="4" w:space="0" w:color="auto"/>
              <w:bottom w:val="single" w:sz="2" w:space="0" w:color="548DD4" w:themeColor="text2" w:themeTint="99"/>
            </w:tcBorders>
            <w:shd w:val="clear" w:color="auto" w:fill="DAEEF3" w:themeFill="accent5" w:themeFillTint="33"/>
            <w:vAlign w:val="center"/>
          </w:tcPr>
          <w:p w14:paraId="0980A46D" w14:textId="59226C4B" w:rsidR="00F02A20" w:rsidRPr="008E3621" w:rsidRDefault="00F02A20" w:rsidP="00D8638E">
            <w:pPr>
              <w:rPr>
                <w:rFonts w:cs="Arial"/>
                <w:szCs w:val="22"/>
              </w:rPr>
            </w:pPr>
            <w:r>
              <w:rPr>
                <w:rFonts w:cs="Arial"/>
                <w:szCs w:val="22"/>
              </w:rPr>
              <w:t>PMSM</w:t>
            </w:r>
          </w:p>
        </w:tc>
        <w:tc>
          <w:tcPr>
            <w:tcW w:w="2001" w:type="dxa"/>
            <w:tcBorders>
              <w:top w:val="single" w:sz="4" w:space="0" w:color="auto"/>
              <w:bottom w:val="single" w:sz="2" w:space="0" w:color="548DD4" w:themeColor="text2" w:themeTint="99"/>
            </w:tcBorders>
            <w:shd w:val="clear" w:color="auto" w:fill="DAEEF3" w:themeFill="accent5" w:themeFillTint="33"/>
            <w:vAlign w:val="center"/>
          </w:tcPr>
          <w:p w14:paraId="27309A14" w14:textId="158F09F4" w:rsidR="00F02A20" w:rsidRPr="008E3621" w:rsidRDefault="00F02A20" w:rsidP="00305310">
            <w:pPr>
              <w:jc w:val="center"/>
              <w:rPr>
                <w:rFonts w:cs="Arial"/>
                <w:szCs w:val="22"/>
              </w:rPr>
            </w:pPr>
            <w:r>
              <w:rPr>
                <w:rFonts w:cs="Arial"/>
                <w:szCs w:val="22"/>
              </w:rPr>
              <w:t>16.4</w:t>
            </w:r>
          </w:p>
        </w:tc>
      </w:tr>
    </w:tbl>
    <w:p w14:paraId="15E47305" w14:textId="24702F4A" w:rsidR="00E46A15" w:rsidRDefault="00E46A15" w:rsidP="00D8638E">
      <w:pPr>
        <w:pStyle w:val="ListParagraph"/>
        <w:ind w:left="0"/>
        <w:jc w:val="center"/>
        <w:rPr>
          <w:rFonts w:ascii="Arial" w:hAnsi="Arial" w:cs="Arial"/>
          <w:iCs/>
          <w:sz w:val="22"/>
          <w:szCs w:val="22"/>
        </w:rPr>
      </w:pPr>
    </w:p>
    <w:p w14:paraId="3D2ED83C" w14:textId="32221A06" w:rsidR="00E46A15" w:rsidRDefault="00E46A15" w:rsidP="00D8638E">
      <w:pPr>
        <w:pStyle w:val="Caption"/>
        <w:keepNext/>
        <w:jc w:val="center"/>
      </w:pPr>
      <w:r>
        <w:t xml:space="preserve">Table </w:t>
      </w:r>
      <w:fldSimple w:instr=" SEQ Table \* ARABIC ">
        <w:r w:rsidR="00053957">
          <w:rPr>
            <w:noProof/>
          </w:rPr>
          <w:t>5</w:t>
        </w:r>
      </w:fldSimple>
      <w:r>
        <w:t xml:space="preserve"> – ET study per unit findings</w:t>
      </w:r>
      <w:r w:rsidR="00F02A20">
        <w:t xml:space="preserve"> (N=173, single store)</w:t>
      </w:r>
    </w:p>
    <w:tbl>
      <w:tblPr>
        <w:tblStyle w:val="TableGrid"/>
        <w:tblW w:w="11527"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3396"/>
        <w:gridCol w:w="2662"/>
        <w:gridCol w:w="2747"/>
        <w:gridCol w:w="2722"/>
      </w:tblGrid>
      <w:tr w:rsidR="00E46A15" w:rsidRPr="008E3621" w14:paraId="7E6FDA97" w14:textId="15418CBD" w:rsidTr="00D8638E">
        <w:trPr>
          <w:jc w:val="center"/>
        </w:trPr>
        <w:tc>
          <w:tcPr>
            <w:tcW w:w="3396"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57B16C4" w14:textId="73EC51ED" w:rsidR="00E46A15" w:rsidRPr="008E3621" w:rsidRDefault="00E46A15" w:rsidP="00107589">
            <w:pPr>
              <w:jc w:val="center"/>
              <w:rPr>
                <w:rFonts w:cs="Arial"/>
                <w:b/>
              </w:rPr>
            </w:pPr>
          </w:p>
        </w:tc>
        <w:tc>
          <w:tcPr>
            <w:tcW w:w="2662"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4E2520CA" w14:textId="271642F2" w:rsidR="00E46A15" w:rsidRPr="008E3621" w:rsidRDefault="00E46A15" w:rsidP="00107589">
            <w:pPr>
              <w:jc w:val="center"/>
              <w:rPr>
                <w:rFonts w:cs="Arial"/>
                <w:b/>
              </w:rPr>
            </w:pPr>
            <w:r>
              <w:rPr>
                <w:rFonts w:cs="Arial"/>
                <w:b/>
              </w:rPr>
              <w:t>Fan motor assemblies</w:t>
            </w:r>
          </w:p>
        </w:tc>
        <w:tc>
          <w:tcPr>
            <w:tcW w:w="2747"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0167B915" w14:textId="1C12FC7B" w:rsidR="00E46A15" w:rsidRPr="008E3621" w:rsidRDefault="00E46A15" w:rsidP="00107589">
            <w:pPr>
              <w:jc w:val="center"/>
              <w:rPr>
                <w:rFonts w:cs="Arial"/>
                <w:b/>
              </w:rPr>
            </w:pPr>
            <w:r>
              <w:rPr>
                <w:rFonts w:cs="Arial"/>
                <w:b/>
              </w:rPr>
              <w:t>Refrigeration mid temp</w:t>
            </w:r>
          </w:p>
        </w:tc>
        <w:tc>
          <w:tcPr>
            <w:tcW w:w="2722" w:type="dxa"/>
            <w:tcBorders>
              <w:top w:val="single" w:sz="8" w:space="0" w:color="548DD4" w:themeColor="text2" w:themeTint="99"/>
              <w:bottom w:val="single" w:sz="24" w:space="0" w:color="548DD4" w:themeColor="text2" w:themeTint="99"/>
            </w:tcBorders>
            <w:shd w:val="clear" w:color="auto" w:fill="DAEEF3" w:themeFill="accent5" w:themeFillTint="33"/>
          </w:tcPr>
          <w:p w14:paraId="0EC0F1E0" w14:textId="43C9B1DC" w:rsidR="00E46A15" w:rsidRDefault="00E46A15" w:rsidP="00107589">
            <w:pPr>
              <w:jc w:val="center"/>
              <w:rPr>
                <w:rFonts w:cs="Arial"/>
                <w:b/>
              </w:rPr>
            </w:pPr>
            <w:r>
              <w:rPr>
                <w:rFonts w:cs="Arial"/>
                <w:b/>
              </w:rPr>
              <w:t>Refrigeration low temp</w:t>
            </w:r>
          </w:p>
        </w:tc>
      </w:tr>
      <w:tr w:rsidR="00E46A15" w:rsidRPr="008E3621" w14:paraId="77CF7D94" w14:textId="1B0BCF3B" w:rsidTr="00D8638E">
        <w:trPr>
          <w:jc w:val="center"/>
        </w:trPr>
        <w:tc>
          <w:tcPr>
            <w:tcW w:w="3396" w:type="dxa"/>
            <w:tcBorders>
              <w:top w:val="single" w:sz="24" w:space="0" w:color="548DD4" w:themeColor="text2" w:themeTint="99"/>
              <w:bottom w:val="single" w:sz="6" w:space="0" w:color="548DD4" w:themeColor="text2" w:themeTint="99"/>
            </w:tcBorders>
            <w:shd w:val="clear" w:color="auto" w:fill="FFFFFF" w:themeFill="background1"/>
            <w:vAlign w:val="center"/>
          </w:tcPr>
          <w:p w14:paraId="2421DA96" w14:textId="30218E69" w:rsidR="00E46A15" w:rsidRPr="008E3621" w:rsidRDefault="00E46A15" w:rsidP="00F02A20">
            <w:pPr>
              <w:rPr>
                <w:rFonts w:cs="Arial"/>
                <w:szCs w:val="22"/>
              </w:rPr>
            </w:pPr>
            <w:r>
              <w:rPr>
                <w:rFonts w:cs="Arial"/>
                <w:szCs w:val="22"/>
              </w:rPr>
              <w:t>Baseline on-peak power [W]</w:t>
            </w:r>
          </w:p>
        </w:tc>
        <w:tc>
          <w:tcPr>
            <w:tcW w:w="2662" w:type="dxa"/>
            <w:tcBorders>
              <w:top w:val="single" w:sz="24" w:space="0" w:color="548DD4" w:themeColor="text2" w:themeTint="99"/>
              <w:bottom w:val="single" w:sz="6" w:space="0" w:color="548DD4" w:themeColor="text2" w:themeTint="99"/>
            </w:tcBorders>
            <w:shd w:val="clear" w:color="auto" w:fill="FFFFFF" w:themeFill="background1"/>
          </w:tcPr>
          <w:p w14:paraId="41CB843C" w14:textId="5D468761" w:rsidR="00E46A15" w:rsidRPr="008E3621" w:rsidRDefault="00E46A15" w:rsidP="00E46A15">
            <w:pPr>
              <w:jc w:val="center"/>
              <w:rPr>
                <w:rFonts w:cs="Arial"/>
                <w:szCs w:val="22"/>
              </w:rPr>
            </w:pPr>
            <w:r>
              <w:rPr>
                <w:rFonts w:cs="Arial"/>
                <w:szCs w:val="22"/>
              </w:rPr>
              <w:t>23.0</w:t>
            </w:r>
          </w:p>
        </w:tc>
        <w:tc>
          <w:tcPr>
            <w:tcW w:w="2747" w:type="dxa"/>
            <w:tcBorders>
              <w:top w:val="single" w:sz="24" w:space="0" w:color="548DD4" w:themeColor="text2" w:themeTint="99"/>
              <w:bottom w:val="single" w:sz="6" w:space="0" w:color="548DD4" w:themeColor="text2" w:themeTint="99"/>
            </w:tcBorders>
            <w:shd w:val="clear" w:color="auto" w:fill="FFFFFF" w:themeFill="background1"/>
          </w:tcPr>
          <w:p w14:paraId="379CC02C" w14:textId="29D1B97A" w:rsidR="00E46A15" w:rsidRPr="008E3621" w:rsidRDefault="00E46A15" w:rsidP="00107589">
            <w:pPr>
              <w:jc w:val="center"/>
              <w:rPr>
                <w:rFonts w:cs="Arial"/>
                <w:szCs w:val="22"/>
              </w:rPr>
            </w:pPr>
            <w:r>
              <w:rPr>
                <w:rFonts w:cs="Arial"/>
                <w:szCs w:val="22"/>
              </w:rPr>
              <w:t>6.6</w:t>
            </w:r>
          </w:p>
        </w:tc>
        <w:tc>
          <w:tcPr>
            <w:tcW w:w="2722" w:type="dxa"/>
            <w:tcBorders>
              <w:top w:val="single" w:sz="24" w:space="0" w:color="548DD4" w:themeColor="text2" w:themeTint="99"/>
              <w:bottom w:val="single" w:sz="6" w:space="0" w:color="548DD4" w:themeColor="text2" w:themeTint="99"/>
            </w:tcBorders>
            <w:shd w:val="clear" w:color="auto" w:fill="FFFFFF" w:themeFill="background1"/>
          </w:tcPr>
          <w:p w14:paraId="2F19CE65" w14:textId="7BD710C3" w:rsidR="00E46A15" w:rsidRPr="008E3621" w:rsidRDefault="00E46A15" w:rsidP="00107589">
            <w:pPr>
              <w:jc w:val="center"/>
              <w:rPr>
                <w:rFonts w:cs="Arial"/>
                <w:szCs w:val="22"/>
              </w:rPr>
            </w:pPr>
            <w:r>
              <w:rPr>
                <w:rFonts w:cs="Arial"/>
                <w:szCs w:val="22"/>
              </w:rPr>
              <w:t>13.1</w:t>
            </w:r>
          </w:p>
        </w:tc>
      </w:tr>
      <w:tr w:rsidR="00E46A15" w:rsidRPr="008E3621" w14:paraId="4E588FA3" w14:textId="0C0FC8DE" w:rsidTr="00D8638E">
        <w:trPr>
          <w:jc w:val="center"/>
        </w:trPr>
        <w:tc>
          <w:tcPr>
            <w:tcW w:w="3396"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6E119EC2" w14:textId="2179EB59" w:rsidR="00E46A15" w:rsidRPr="008E3621" w:rsidRDefault="00E46A15" w:rsidP="00F02A20">
            <w:pPr>
              <w:rPr>
                <w:rFonts w:cs="Arial"/>
                <w:szCs w:val="22"/>
              </w:rPr>
            </w:pPr>
            <w:r>
              <w:rPr>
                <w:rFonts w:cs="Arial"/>
                <w:szCs w:val="22"/>
              </w:rPr>
              <w:t>Post on-peak power [W]</w:t>
            </w:r>
          </w:p>
        </w:tc>
        <w:tc>
          <w:tcPr>
            <w:tcW w:w="2662" w:type="dxa"/>
            <w:tcBorders>
              <w:top w:val="single" w:sz="6" w:space="0" w:color="548DD4" w:themeColor="text2" w:themeTint="99"/>
              <w:bottom w:val="single" w:sz="6" w:space="0" w:color="548DD4" w:themeColor="text2" w:themeTint="99"/>
            </w:tcBorders>
            <w:shd w:val="clear" w:color="auto" w:fill="DAEEF3" w:themeFill="accent5" w:themeFillTint="33"/>
          </w:tcPr>
          <w:p w14:paraId="35046C64" w14:textId="75C46A1A" w:rsidR="00E46A15" w:rsidRPr="008E3621" w:rsidRDefault="00E46A15" w:rsidP="00107589">
            <w:pPr>
              <w:jc w:val="center"/>
              <w:rPr>
                <w:rFonts w:cs="Arial"/>
                <w:szCs w:val="22"/>
              </w:rPr>
            </w:pPr>
            <w:r>
              <w:rPr>
                <w:rFonts w:cs="Arial"/>
                <w:szCs w:val="22"/>
              </w:rPr>
              <w:t>14.5</w:t>
            </w:r>
          </w:p>
        </w:tc>
        <w:tc>
          <w:tcPr>
            <w:tcW w:w="2747" w:type="dxa"/>
            <w:tcBorders>
              <w:top w:val="single" w:sz="6" w:space="0" w:color="548DD4" w:themeColor="text2" w:themeTint="99"/>
              <w:bottom w:val="single" w:sz="6" w:space="0" w:color="548DD4" w:themeColor="text2" w:themeTint="99"/>
            </w:tcBorders>
            <w:shd w:val="clear" w:color="auto" w:fill="DAEEF3" w:themeFill="accent5" w:themeFillTint="33"/>
          </w:tcPr>
          <w:p w14:paraId="05BF122C" w14:textId="02358BAF" w:rsidR="00E46A15" w:rsidRPr="008E3621" w:rsidRDefault="00E46A15" w:rsidP="00107589">
            <w:pPr>
              <w:jc w:val="center"/>
              <w:rPr>
                <w:rFonts w:cs="Arial"/>
                <w:szCs w:val="22"/>
              </w:rPr>
            </w:pPr>
            <w:r>
              <w:rPr>
                <w:rFonts w:cs="Arial"/>
                <w:szCs w:val="22"/>
              </w:rPr>
              <w:t>4.1</w:t>
            </w:r>
          </w:p>
        </w:tc>
        <w:tc>
          <w:tcPr>
            <w:tcW w:w="2722" w:type="dxa"/>
            <w:tcBorders>
              <w:top w:val="single" w:sz="6" w:space="0" w:color="548DD4" w:themeColor="text2" w:themeTint="99"/>
              <w:bottom w:val="single" w:sz="6" w:space="0" w:color="548DD4" w:themeColor="text2" w:themeTint="99"/>
            </w:tcBorders>
            <w:shd w:val="clear" w:color="auto" w:fill="DAEEF3" w:themeFill="accent5" w:themeFillTint="33"/>
          </w:tcPr>
          <w:p w14:paraId="5499ADC3" w14:textId="04AAFE1B" w:rsidR="00E46A15" w:rsidRPr="008E3621" w:rsidRDefault="00E46A15" w:rsidP="00107589">
            <w:pPr>
              <w:jc w:val="center"/>
              <w:rPr>
                <w:rFonts w:cs="Arial"/>
                <w:szCs w:val="22"/>
              </w:rPr>
            </w:pPr>
            <w:r>
              <w:rPr>
                <w:rFonts w:cs="Arial"/>
                <w:szCs w:val="22"/>
              </w:rPr>
              <w:t>8.3</w:t>
            </w:r>
          </w:p>
        </w:tc>
      </w:tr>
      <w:tr w:rsidR="00E46A15" w:rsidRPr="008E3621" w14:paraId="41B7EFEF" w14:textId="26ABE5C3" w:rsidTr="00D8638E">
        <w:trPr>
          <w:jc w:val="center"/>
        </w:trPr>
        <w:tc>
          <w:tcPr>
            <w:tcW w:w="3396" w:type="dxa"/>
            <w:tcBorders>
              <w:top w:val="single" w:sz="6" w:space="0" w:color="548DD4" w:themeColor="text2" w:themeTint="99"/>
              <w:bottom w:val="single" w:sz="4" w:space="0" w:color="auto"/>
            </w:tcBorders>
            <w:shd w:val="clear" w:color="auto" w:fill="FFFFFF" w:themeFill="background1"/>
            <w:vAlign w:val="center"/>
          </w:tcPr>
          <w:p w14:paraId="368B2E71" w14:textId="2BB91206" w:rsidR="00E46A15" w:rsidRPr="008E3621" w:rsidRDefault="00E46A15" w:rsidP="00F02A20">
            <w:pPr>
              <w:rPr>
                <w:rFonts w:cs="Arial"/>
                <w:szCs w:val="22"/>
              </w:rPr>
            </w:pPr>
            <w:r>
              <w:rPr>
                <w:rFonts w:cs="Arial"/>
                <w:szCs w:val="22"/>
              </w:rPr>
              <w:t>On-peak demand reduction [W]</w:t>
            </w:r>
          </w:p>
        </w:tc>
        <w:tc>
          <w:tcPr>
            <w:tcW w:w="2662" w:type="dxa"/>
            <w:tcBorders>
              <w:top w:val="single" w:sz="6" w:space="0" w:color="548DD4" w:themeColor="text2" w:themeTint="99"/>
              <w:bottom w:val="single" w:sz="4" w:space="0" w:color="auto"/>
            </w:tcBorders>
            <w:shd w:val="clear" w:color="auto" w:fill="FFFFFF" w:themeFill="background1"/>
          </w:tcPr>
          <w:p w14:paraId="148170CE" w14:textId="0B276DCC" w:rsidR="00E46A15" w:rsidRPr="008E3621" w:rsidRDefault="00E46A15" w:rsidP="00107589">
            <w:pPr>
              <w:jc w:val="center"/>
              <w:rPr>
                <w:rFonts w:cs="Arial"/>
                <w:szCs w:val="22"/>
              </w:rPr>
            </w:pPr>
            <w:r>
              <w:rPr>
                <w:rFonts w:cs="Arial"/>
                <w:szCs w:val="22"/>
              </w:rPr>
              <w:t>8.5</w:t>
            </w:r>
          </w:p>
        </w:tc>
        <w:tc>
          <w:tcPr>
            <w:tcW w:w="2747" w:type="dxa"/>
            <w:tcBorders>
              <w:top w:val="single" w:sz="6" w:space="0" w:color="548DD4" w:themeColor="text2" w:themeTint="99"/>
              <w:bottom w:val="single" w:sz="4" w:space="0" w:color="auto"/>
            </w:tcBorders>
            <w:shd w:val="clear" w:color="auto" w:fill="FFFFFF" w:themeFill="background1"/>
          </w:tcPr>
          <w:p w14:paraId="44D15AD0" w14:textId="5FB37252" w:rsidR="00E46A15" w:rsidRPr="008E3621" w:rsidRDefault="00E46A15" w:rsidP="00107589">
            <w:pPr>
              <w:jc w:val="center"/>
              <w:rPr>
                <w:rFonts w:cs="Arial"/>
                <w:szCs w:val="22"/>
              </w:rPr>
            </w:pPr>
            <w:r>
              <w:rPr>
                <w:rFonts w:cs="Arial"/>
                <w:szCs w:val="22"/>
              </w:rPr>
              <w:t>2.4</w:t>
            </w:r>
          </w:p>
        </w:tc>
        <w:tc>
          <w:tcPr>
            <w:tcW w:w="2722" w:type="dxa"/>
            <w:tcBorders>
              <w:top w:val="single" w:sz="6" w:space="0" w:color="548DD4" w:themeColor="text2" w:themeTint="99"/>
              <w:bottom w:val="single" w:sz="4" w:space="0" w:color="auto"/>
            </w:tcBorders>
            <w:shd w:val="clear" w:color="auto" w:fill="FFFFFF" w:themeFill="background1"/>
          </w:tcPr>
          <w:p w14:paraId="2B9A2E1A" w14:textId="2EE30FA0" w:rsidR="00E46A15" w:rsidRPr="008E3621" w:rsidRDefault="00E46A15" w:rsidP="00107589">
            <w:pPr>
              <w:jc w:val="center"/>
              <w:rPr>
                <w:rFonts w:cs="Arial"/>
                <w:szCs w:val="22"/>
              </w:rPr>
            </w:pPr>
            <w:r>
              <w:rPr>
                <w:rFonts w:cs="Arial"/>
                <w:szCs w:val="22"/>
              </w:rPr>
              <w:t>4.8</w:t>
            </w:r>
          </w:p>
        </w:tc>
      </w:tr>
      <w:tr w:rsidR="00E46A15" w:rsidRPr="008E3621" w14:paraId="6B972FD2" w14:textId="54E76121" w:rsidTr="00D8638E">
        <w:trPr>
          <w:jc w:val="center"/>
        </w:trPr>
        <w:tc>
          <w:tcPr>
            <w:tcW w:w="3396" w:type="dxa"/>
            <w:tcBorders>
              <w:top w:val="single" w:sz="4" w:space="0" w:color="auto"/>
              <w:bottom w:val="single" w:sz="2" w:space="0" w:color="548DD4" w:themeColor="text2" w:themeTint="99"/>
            </w:tcBorders>
            <w:shd w:val="clear" w:color="auto" w:fill="DAEEF3" w:themeFill="accent5" w:themeFillTint="33"/>
            <w:vAlign w:val="center"/>
          </w:tcPr>
          <w:p w14:paraId="487C7978" w14:textId="75F5467E" w:rsidR="00E46A15" w:rsidRPr="008E3621" w:rsidRDefault="00E46A15" w:rsidP="00F02A20">
            <w:pPr>
              <w:rPr>
                <w:rFonts w:cs="Arial"/>
                <w:szCs w:val="22"/>
              </w:rPr>
            </w:pPr>
            <w:r>
              <w:rPr>
                <w:rFonts w:cs="Arial"/>
                <w:szCs w:val="22"/>
              </w:rPr>
              <w:t>Baseline energy [kWh/yr]</w:t>
            </w:r>
          </w:p>
        </w:tc>
        <w:tc>
          <w:tcPr>
            <w:tcW w:w="2662" w:type="dxa"/>
            <w:tcBorders>
              <w:top w:val="single" w:sz="4" w:space="0" w:color="auto"/>
              <w:bottom w:val="single" w:sz="2" w:space="0" w:color="548DD4" w:themeColor="text2" w:themeTint="99"/>
            </w:tcBorders>
            <w:shd w:val="clear" w:color="auto" w:fill="DAEEF3" w:themeFill="accent5" w:themeFillTint="33"/>
          </w:tcPr>
          <w:p w14:paraId="6A4CBBAB" w14:textId="02ABD273" w:rsidR="00E46A15" w:rsidRPr="008E3621" w:rsidRDefault="00E46A15" w:rsidP="00107589">
            <w:pPr>
              <w:jc w:val="center"/>
              <w:rPr>
                <w:rFonts w:cs="Arial"/>
                <w:szCs w:val="22"/>
              </w:rPr>
            </w:pPr>
            <w:r>
              <w:rPr>
                <w:rFonts w:cs="Arial"/>
                <w:szCs w:val="22"/>
              </w:rPr>
              <w:t>201.8</w:t>
            </w:r>
          </w:p>
        </w:tc>
        <w:tc>
          <w:tcPr>
            <w:tcW w:w="2747" w:type="dxa"/>
            <w:tcBorders>
              <w:top w:val="single" w:sz="4" w:space="0" w:color="auto"/>
              <w:bottom w:val="single" w:sz="2" w:space="0" w:color="548DD4" w:themeColor="text2" w:themeTint="99"/>
            </w:tcBorders>
            <w:shd w:val="clear" w:color="auto" w:fill="DAEEF3" w:themeFill="accent5" w:themeFillTint="33"/>
          </w:tcPr>
          <w:p w14:paraId="1CC88F7A" w14:textId="6DC54ED7" w:rsidR="00E46A15" w:rsidRPr="008E3621" w:rsidRDefault="00E46A15" w:rsidP="00107589">
            <w:pPr>
              <w:jc w:val="center"/>
              <w:rPr>
                <w:rFonts w:cs="Arial"/>
                <w:szCs w:val="22"/>
              </w:rPr>
            </w:pPr>
            <w:r>
              <w:rPr>
                <w:rFonts w:cs="Arial"/>
                <w:szCs w:val="22"/>
              </w:rPr>
              <w:t>57.4</w:t>
            </w:r>
          </w:p>
        </w:tc>
        <w:tc>
          <w:tcPr>
            <w:tcW w:w="2722" w:type="dxa"/>
            <w:tcBorders>
              <w:top w:val="single" w:sz="4" w:space="0" w:color="auto"/>
              <w:bottom w:val="single" w:sz="2" w:space="0" w:color="548DD4" w:themeColor="text2" w:themeTint="99"/>
            </w:tcBorders>
            <w:shd w:val="clear" w:color="auto" w:fill="DAEEF3" w:themeFill="accent5" w:themeFillTint="33"/>
          </w:tcPr>
          <w:p w14:paraId="4B8605FB" w14:textId="57DB4158" w:rsidR="00E46A15" w:rsidRPr="008E3621" w:rsidRDefault="00E46A15" w:rsidP="00107589">
            <w:pPr>
              <w:jc w:val="center"/>
              <w:rPr>
                <w:rFonts w:cs="Arial"/>
                <w:szCs w:val="22"/>
              </w:rPr>
            </w:pPr>
            <w:r>
              <w:rPr>
                <w:rFonts w:cs="Arial"/>
                <w:szCs w:val="22"/>
              </w:rPr>
              <w:t>112.3</w:t>
            </w:r>
          </w:p>
        </w:tc>
      </w:tr>
      <w:tr w:rsidR="00E46A15" w:rsidRPr="008E3621" w14:paraId="2BD68678" w14:textId="6FA04399" w:rsidTr="00D8638E">
        <w:trPr>
          <w:jc w:val="center"/>
        </w:trPr>
        <w:tc>
          <w:tcPr>
            <w:tcW w:w="3396" w:type="dxa"/>
            <w:tcBorders>
              <w:top w:val="single" w:sz="2" w:space="0" w:color="548DD4" w:themeColor="text2" w:themeTint="99"/>
              <w:left w:val="single" w:sz="2" w:space="0" w:color="548DD4" w:themeColor="text2" w:themeTint="99"/>
              <w:bottom w:val="single" w:sz="2" w:space="0" w:color="548DD4" w:themeColor="text2" w:themeTint="99"/>
            </w:tcBorders>
            <w:shd w:val="clear" w:color="auto" w:fill="FFFFFF" w:themeFill="background1"/>
            <w:vAlign w:val="center"/>
          </w:tcPr>
          <w:p w14:paraId="221280A1" w14:textId="5D9E5991" w:rsidR="00E46A15" w:rsidRPr="008E3621" w:rsidRDefault="00E46A15" w:rsidP="00F02A20">
            <w:pPr>
              <w:rPr>
                <w:rFonts w:cs="Arial"/>
                <w:szCs w:val="22"/>
              </w:rPr>
            </w:pPr>
            <w:r>
              <w:rPr>
                <w:rFonts w:cs="Arial"/>
                <w:szCs w:val="22"/>
              </w:rPr>
              <w:t>Post energy [kWh/yr]</w:t>
            </w:r>
          </w:p>
        </w:tc>
        <w:tc>
          <w:tcPr>
            <w:tcW w:w="2662" w:type="dxa"/>
            <w:tcBorders>
              <w:top w:val="single" w:sz="2" w:space="0" w:color="548DD4" w:themeColor="text2" w:themeTint="99"/>
              <w:bottom w:val="single" w:sz="2" w:space="0" w:color="548DD4" w:themeColor="text2" w:themeTint="99"/>
            </w:tcBorders>
            <w:shd w:val="clear" w:color="auto" w:fill="FFFFFF" w:themeFill="background1"/>
          </w:tcPr>
          <w:p w14:paraId="3ADD6559" w14:textId="14B5471E" w:rsidR="00E46A15" w:rsidRPr="008E3621" w:rsidRDefault="00E46A15" w:rsidP="00107589">
            <w:pPr>
              <w:jc w:val="center"/>
              <w:rPr>
                <w:rFonts w:cs="Arial"/>
                <w:szCs w:val="22"/>
              </w:rPr>
            </w:pPr>
            <w:r>
              <w:rPr>
                <w:rFonts w:cs="Arial"/>
                <w:szCs w:val="22"/>
              </w:rPr>
              <w:t>127.3</w:t>
            </w:r>
          </w:p>
        </w:tc>
        <w:tc>
          <w:tcPr>
            <w:tcW w:w="2747" w:type="dxa"/>
            <w:tcBorders>
              <w:top w:val="single" w:sz="2" w:space="0" w:color="548DD4" w:themeColor="text2" w:themeTint="99"/>
              <w:bottom w:val="single" w:sz="2" w:space="0" w:color="548DD4" w:themeColor="text2" w:themeTint="99"/>
            </w:tcBorders>
            <w:shd w:val="clear" w:color="auto" w:fill="FFFFFF" w:themeFill="background1"/>
          </w:tcPr>
          <w:p w14:paraId="5A85DE66" w14:textId="456E7FEC" w:rsidR="00E46A15" w:rsidRPr="008E3621" w:rsidRDefault="00E46A15" w:rsidP="00107589">
            <w:pPr>
              <w:jc w:val="center"/>
              <w:rPr>
                <w:rFonts w:cs="Arial"/>
                <w:szCs w:val="22"/>
              </w:rPr>
            </w:pPr>
            <w:r>
              <w:rPr>
                <w:rFonts w:cs="Arial"/>
                <w:szCs w:val="22"/>
              </w:rPr>
              <w:t>36.2</w:t>
            </w:r>
          </w:p>
        </w:tc>
        <w:tc>
          <w:tcPr>
            <w:tcW w:w="2722" w:type="dxa"/>
            <w:tcBorders>
              <w:top w:val="single" w:sz="2" w:space="0" w:color="548DD4" w:themeColor="text2" w:themeTint="99"/>
              <w:bottom w:val="single" w:sz="2" w:space="0" w:color="548DD4" w:themeColor="text2" w:themeTint="99"/>
            </w:tcBorders>
            <w:shd w:val="clear" w:color="auto" w:fill="FFFFFF" w:themeFill="background1"/>
          </w:tcPr>
          <w:p w14:paraId="724E477B" w14:textId="1166AD1B" w:rsidR="00E46A15" w:rsidRPr="008E3621" w:rsidRDefault="00E46A15" w:rsidP="00107589">
            <w:pPr>
              <w:jc w:val="center"/>
              <w:rPr>
                <w:rFonts w:cs="Arial"/>
                <w:szCs w:val="22"/>
              </w:rPr>
            </w:pPr>
            <w:r>
              <w:rPr>
                <w:rFonts w:cs="Arial"/>
                <w:szCs w:val="22"/>
              </w:rPr>
              <w:t>70.9</w:t>
            </w:r>
          </w:p>
        </w:tc>
      </w:tr>
      <w:tr w:rsidR="00E46A15" w:rsidRPr="008E3621" w14:paraId="60243BDC" w14:textId="4019201C" w:rsidTr="00D8638E">
        <w:trPr>
          <w:jc w:val="center"/>
        </w:trPr>
        <w:tc>
          <w:tcPr>
            <w:tcW w:w="3396"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5FF169F5" w14:textId="1EDEEB04" w:rsidR="00E46A15" w:rsidRPr="008E3621" w:rsidRDefault="00E46A15" w:rsidP="00F02A20">
            <w:pPr>
              <w:rPr>
                <w:rFonts w:cs="Arial"/>
                <w:szCs w:val="22"/>
              </w:rPr>
            </w:pPr>
            <w:r>
              <w:rPr>
                <w:rFonts w:cs="Arial"/>
                <w:szCs w:val="22"/>
              </w:rPr>
              <w:t>Energy savings [kWh/yr]</w:t>
            </w:r>
          </w:p>
        </w:tc>
        <w:tc>
          <w:tcPr>
            <w:tcW w:w="2662" w:type="dxa"/>
            <w:tcBorders>
              <w:top w:val="single" w:sz="2" w:space="0" w:color="548DD4" w:themeColor="text2" w:themeTint="99"/>
              <w:bottom w:val="single" w:sz="24" w:space="0" w:color="548DD4" w:themeColor="text2" w:themeTint="99"/>
            </w:tcBorders>
            <w:shd w:val="clear" w:color="auto" w:fill="DAEEF3" w:themeFill="accent5" w:themeFillTint="33"/>
          </w:tcPr>
          <w:p w14:paraId="4B7AB6F7" w14:textId="09760C5E" w:rsidR="00E46A15" w:rsidRPr="008E3621" w:rsidRDefault="00E46A15" w:rsidP="00107589">
            <w:pPr>
              <w:jc w:val="center"/>
              <w:rPr>
                <w:rFonts w:cs="Arial"/>
                <w:szCs w:val="22"/>
              </w:rPr>
            </w:pPr>
            <w:r>
              <w:rPr>
                <w:rFonts w:cs="Arial"/>
                <w:szCs w:val="22"/>
              </w:rPr>
              <w:t>74.4</w:t>
            </w:r>
          </w:p>
        </w:tc>
        <w:tc>
          <w:tcPr>
            <w:tcW w:w="2747" w:type="dxa"/>
            <w:tcBorders>
              <w:top w:val="single" w:sz="2" w:space="0" w:color="548DD4" w:themeColor="text2" w:themeTint="99"/>
              <w:bottom w:val="single" w:sz="24" w:space="0" w:color="548DD4" w:themeColor="text2" w:themeTint="99"/>
            </w:tcBorders>
            <w:shd w:val="clear" w:color="auto" w:fill="DAEEF3" w:themeFill="accent5" w:themeFillTint="33"/>
          </w:tcPr>
          <w:p w14:paraId="3DCA0F33" w14:textId="3B2E5747" w:rsidR="00E46A15" w:rsidRPr="008E3621" w:rsidRDefault="00E46A15" w:rsidP="00107589">
            <w:pPr>
              <w:jc w:val="center"/>
              <w:rPr>
                <w:rFonts w:cs="Arial"/>
                <w:szCs w:val="22"/>
              </w:rPr>
            </w:pPr>
            <w:r>
              <w:rPr>
                <w:rFonts w:cs="Arial"/>
                <w:szCs w:val="22"/>
              </w:rPr>
              <w:t>21.2</w:t>
            </w:r>
          </w:p>
        </w:tc>
        <w:tc>
          <w:tcPr>
            <w:tcW w:w="2722" w:type="dxa"/>
            <w:tcBorders>
              <w:top w:val="single" w:sz="2" w:space="0" w:color="548DD4" w:themeColor="text2" w:themeTint="99"/>
              <w:bottom w:val="single" w:sz="24" w:space="0" w:color="548DD4" w:themeColor="text2" w:themeTint="99"/>
            </w:tcBorders>
            <w:shd w:val="clear" w:color="auto" w:fill="DAEEF3" w:themeFill="accent5" w:themeFillTint="33"/>
          </w:tcPr>
          <w:p w14:paraId="1EF1B7B4" w14:textId="2B0B9A02" w:rsidR="00E46A15" w:rsidRPr="008E3621" w:rsidRDefault="00E46A15" w:rsidP="00107589">
            <w:pPr>
              <w:jc w:val="center"/>
              <w:rPr>
                <w:rFonts w:cs="Arial"/>
                <w:szCs w:val="22"/>
              </w:rPr>
            </w:pPr>
            <w:r>
              <w:rPr>
                <w:rFonts w:cs="Arial"/>
                <w:szCs w:val="22"/>
              </w:rPr>
              <w:t>41.4</w:t>
            </w:r>
          </w:p>
        </w:tc>
      </w:tr>
    </w:tbl>
    <w:p w14:paraId="66820113" w14:textId="77777777" w:rsidR="00E46A15" w:rsidRDefault="00E46A15" w:rsidP="0050707B">
      <w:pPr>
        <w:pStyle w:val="ListParagraph"/>
        <w:ind w:left="0"/>
        <w:jc w:val="both"/>
        <w:rPr>
          <w:rFonts w:ascii="Arial" w:hAnsi="Arial" w:cs="Arial"/>
          <w:iCs/>
          <w:sz w:val="22"/>
          <w:szCs w:val="22"/>
        </w:rPr>
      </w:pPr>
    </w:p>
    <w:p w14:paraId="57B721AA" w14:textId="05C85FD2" w:rsidR="00B3518B" w:rsidRDefault="00B3518B" w:rsidP="0050707B">
      <w:pPr>
        <w:pStyle w:val="ListParagraph"/>
        <w:ind w:left="0"/>
        <w:jc w:val="both"/>
        <w:rPr>
          <w:rFonts w:ascii="Arial" w:hAnsi="Arial" w:cs="Arial"/>
          <w:iCs/>
          <w:sz w:val="22"/>
          <w:szCs w:val="22"/>
        </w:rPr>
      </w:pPr>
      <w:r>
        <w:rPr>
          <w:rFonts w:ascii="Arial" w:hAnsi="Arial" w:cs="Arial"/>
          <w:iCs/>
          <w:sz w:val="22"/>
          <w:szCs w:val="22"/>
        </w:rPr>
        <w:t xml:space="preserve">The field test involved 1 month of baseline monitoring and 1 month of post-implementation monitoring of fan circuit demand at subpanels, a sample of case bulk air temperature and humidity, and spot measurements of airflow and power characteristics. Energy and demand savings were determined using real power measurements at the circuit breaker and supplemented by spot measurements of each fan. Demand was consistent across all conditions with only slight diurnal, periodic variation that depended on grid supply voltage. Thus, energy and demand savings were easily calculated by a simple comparison between pre and post data. Annualized values were calculated by extrapolating to 8,760 hours for the mid-temp cases and </w:t>
      </w:r>
      <w:r w:rsidR="00807921">
        <w:rPr>
          <w:rFonts w:ascii="Arial" w:hAnsi="Arial" w:cs="Arial"/>
          <w:iCs/>
          <w:sz w:val="22"/>
          <w:szCs w:val="22"/>
        </w:rPr>
        <w:t xml:space="preserve">8,575 hours for the freezers to account for daily 30 </w:t>
      </w:r>
      <w:r w:rsidR="00807921">
        <w:rPr>
          <w:rFonts w:ascii="Arial" w:hAnsi="Arial" w:cs="Arial"/>
          <w:iCs/>
          <w:sz w:val="22"/>
          <w:szCs w:val="22"/>
        </w:rPr>
        <w:lastRenderedPageBreak/>
        <w:t xml:space="preserve">minute defrost cycles. Using </w:t>
      </w:r>
      <w:r w:rsidR="0050707B">
        <w:rPr>
          <w:rFonts w:ascii="Arial" w:hAnsi="Arial" w:cs="Arial"/>
          <w:iCs/>
          <w:sz w:val="22"/>
          <w:szCs w:val="22"/>
        </w:rPr>
        <w:t>site specific</w:t>
      </w:r>
      <w:r w:rsidR="00B139B9">
        <w:rPr>
          <w:rFonts w:ascii="Arial" w:hAnsi="Arial" w:cs="Arial"/>
          <w:iCs/>
          <w:sz w:val="22"/>
          <w:szCs w:val="22"/>
        </w:rPr>
        <w:t xml:space="preserve"> efficiency</w:t>
      </w:r>
      <w:r w:rsidR="00807921">
        <w:rPr>
          <w:rFonts w:ascii="Arial" w:hAnsi="Arial" w:cs="Arial"/>
          <w:iCs/>
          <w:sz w:val="22"/>
          <w:szCs w:val="22"/>
        </w:rPr>
        <w:t xml:space="preserve"> system kW/ton values, savings associated with the reduced fan heat load were also included.</w:t>
      </w:r>
    </w:p>
    <w:p w14:paraId="4C17362F" w14:textId="77777777" w:rsidR="00B3518B" w:rsidRDefault="00B3518B" w:rsidP="0050707B">
      <w:pPr>
        <w:pStyle w:val="ListParagraph"/>
        <w:ind w:left="0"/>
        <w:jc w:val="both"/>
        <w:rPr>
          <w:rFonts w:ascii="Arial" w:hAnsi="Arial" w:cs="Arial"/>
          <w:iCs/>
          <w:sz w:val="22"/>
          <w:szCs w:val="22"/>
        </w:rPr>
      </w:pPr>
    </w:p>
    <w:p w14:paraId="1D799CF9" w14:textId="4DC195D1" w:rsidR="003C1D85" w:rsidRDefault="003C1D85" w:rsidP="0050707B">
      <w:pPr>
        <w:pStyle w:val="ListParagraph"/>
        <w:ind w:left="0"/>
        <w:jc w:val="both"/>
        <w:rPr>
          <w:rFonts w:ascii="Arial" w:hAnsi="Arial" w:cs="Arial"/>
          <w:iCs/>
          <w:sz w:val="22"/>
          <w:szCs w:val="22"/>
        </w:rPr>
      </w:pPr>
      <w:r>
        <w:rPr>
          <w:rFonts w:ascii="Arial" w:hAnsi="Arial" w:cs="Arial"/>
          <w:iCs/>
          <w:sz w:val="22"/>
          <w:szCs w:val="22"/>
        </w:rPr>
        <w:t>The workpaper assumes an ECM baseline, similar freezer case defrost functions, and 24/7 cooling of the refrigerated cases. Installed cost per unit was taken from the project experience, vendor quotes, and refrigeration service provider rates. However, a range of unit cost</w:t>
      </w:r>
      <w:r w:rsidR="00305310">
        <w:rPr>
          <w:rFonts w:ascii="Arial" w:hAnsi="Arial" w:cs="Arial"/>
          <w:iCs/>
          <w:sz w:val="22"/>
          <w:szCs w:val="22"/>
        </w:rPr>
        <w:t>s</w:t>
      </w:r>
      <w:r>
        <w:rPr>
          <w:rFonts w:ascii="Arial" w:hAnsi="Arial" w:cs="Arial"/>
          <w:iCs/>
          <w:sz w:val="22"/>
          <w:szCs w:val="22"/>
        </w:rPr>
        <w:t xml:space="preserve"> was provided by the manufacturer and thus the </w:t>
      </w:r>
      <w:r w:rsidR="00305310">
        <w:rPr>
          <w:rFonts w:ascii="Arial" w:hAnsi="Arial" w:cs="Arial"/>
          <w:iCs/>
          <w:sz w:val="22"/>
          <w:szCs w:val="22"/>
        </w:rPr>
        <w:t xml:space="preserve">respective </w:t>
      </w:r>
      <w:r>
        <w:rPr>
          <w:rFonts w:ascii="Arial" w:hAnsi="Arial" w:cs="Arial"/>
          <w:iCs/>
          <w:sz w:val="22"/>
          <w:szCs w:val="22"/>
        </w:rPr>
        <w:t xml:space="preserve">confidence is medium. However, the range is relatively small and is not expected to reach levels that make the technology ineffective. Market size was determined using US Census data for food retail businesses in California. The number of fans at each type of business was defined by estimates in the reference Oak Ridge National Labs paper. Combining the ET study findings and this estimated market size allowed for total market potential energy savings and demand reduction. </w:t>
      </w:r>
    </w:p>
    <w:p w14:paraId="5E707376" w14:textId="77777777" w:rsidR="00B3518B" w:rsidRDefault="00B3518B" w:rsidP="0050707B">
      <w:pPr>
        <w:pStyle w:val="ListParagraph"/>
        <w:ind w:left="0"/>
        <w:jc w:val="both"/>
        <w:rPr>
          <w:rFonts w:ascii="Arial" w:hAnsi="Arial" w:cs="Arial"/>
          <w:iCs/>
          <w:sz w:val="22"/>
          <w:szCs w:val="22"/>
        </w:rPr>
      </w:pPr>
    </w:p>
    <w:p w14:paraId="0D7255A6" w14:textId="382B1D99" w:rsidR="00B3518B" w:rsidRDefault="003C1D85" w:rsidP="0050707B">
      <w:pPr>
        <w:pStyle w:val="ListParagraph"/>
        <w:ind w:left="0"/>
        <w:jc w:val="both"/>
        <w:rPr>
          <w:rFonts w:ascii="Arial" w:hAnsi="Arial" w:cs="Arial"/>
          <w:i/>
          <w:iCs/>
          <w:color w:val="FF0000"/>
          <w:sz w:val="22"/>
          <w:szCs w:val="22"/>
        </w:rPr>
      </w:pPr>
      <w:r>
        <w:rPr>
          <w:rFonts w:ascii="Arial" w:hAnsi="Arial" w:cs="Arial"/>
          <w:iCs/>
          <w:sz w:val="22"/>
          <w:szCs w:val="22"/>
        </w:rPr>
        <w:t>Guidance sought from CalTF includes whether to s</w:t>
      </w:r>
      <w:r w:rsidR="00B139B9">
        <w:rPr>
          <w:rFonts w:ascii="Arial" w:hAnsi="Arial" w:cs="Arial"/>
          <w:iCs/>
          <w:sz w:val="22"/>
          <w:szCs w:val="22"/>
        </w:rPr>
        <w:t>e</w:t>
      </w:r>
      <w:r w:rsidR="00B3518B">
        <w:rPr>
          <w:rFonts w:ascii="Arial" w:hAnsi="Arial" w:cs="Arial"/>
          <w:iCs/>
          <w:sz w:val="22"/>
          <w:szCs w:val="22"/>
        </w:rPr>
        <w:t xml:space="preserve">e a blend of results from both </w:t>
      </w:r>
      <w:r>
        <w:rPr>
          <w:rFonts w:ascii="Arial" w:hAnsi="Arial" w:cs="Arial"/>
          <w:iCs/>
          <w:sz w:val="22"/>
          <w:szCs w:val="22"/>
        </w:rPr>
        <w:t>the ET and ORNL studies and whether to consider having two different program offerings for freezer cases and mid-temp refrigerated cases.</w:t>
      </w:r>
      <w:r w:rsidR="00B3518B">
        <w:rPr>
          <w:rFonts w:ascii="Arial" w:hAnsi="Arial" w:cs="Arial"/>
          <w:iCs/>
          <w:sz w:val="22"/>
          <w:szCs w:val="22"/>
        </w:rPr>
        <w:t xml:space="preserve"> </w:t>
      </w:r>
      <w:r>
        <w:rPr>
          <w:rFonts w:ascii="Arial" w:hAnsi="Arial" w:cs="Arial"/>
          <w:iCs/>
          <w:sz w:val="22"/>
          <w:szCs w:val="22"/>
        </w:rPr>
        <w:t>The f</w:t>
      </w:r>
      <w:r w:rsidR="00B3518B">
        <w:rPr>
          <w:rFonts w:ascii="Arial" w:hAnsi="Arial" w:cs="Arial"/>
          <w:iCs/>
          <w:sz w:val="22"/>
          <w:szCs w:val="22"/>
        </w:rPr>
        <w:t xml:space="preserve">ield test used </w:t>
      </w:r>
      <w:r>
        <w:rPr>
          <w:rFonts w:ascii="Arial" w:hAnsi="Arial" w:cs="Arial"/>
          <w:iCs/>
          <w:sz w:val="22"/>
          <w:szCs w:val="22"/>
        </w:rPr>
        <w:t xml:space="preserve">an </w:t>
      </w:r>
      <w:r w:rsidR="00B3518B">
        <w:rPr>
          <w:rFonts w:ascii="Arial" w:hAnsi="Arial" w:cs="Arial"/>
          <w:iCs/>
          <w:sz w:val="22"/>
          <w:szCs w:val="22"/>
        </w:rPr>
        <w:t xml:space="preserve">almost </w:t>
      </w:r>
      <w:r>
        <w:rPr>
          <w:rFonts w:ascii="Arial" w:hAnsi="Arial" w:cs="Arial"/>
          <w:iCs/>
          <w:sz w:val="22"/>
          <w:szCs w:val="22"/>
        </w:rPr>
        <w:t>exclusive</w:t>
      </w:r>
      <w:r w:rsidR="00B3518B">
        <w:rPr>
          <w:rFonts w:ascii="Arial" w:hAnsi="Arial" w:cs="Arial"/>
          <w:iCs/>
          <w:sz w:val="22"/>
          <w:szCs w:val="22"/>
        </w:rPr>
        <w:t xml:space="preserve"> ECM baseline while ORNL incorporated an assumed, mixed baseline and testing of only several fans in a lab setting. </w:t>
      </w:r>
      <w:r>
        <w:rPr>
          <w:rFonts w:ascii="Arial" w:hAnsi="Arial" w:cs="Arial"/>
          <w:iCs/>
          <w:sz w:val="22"/>
          <w:szCs w:val="22"/>
        </w:rPr>
        <w:t xml:space="preserve">Refrigeration system COP is </w:t>
      </w:r>
      <w:r w:rsidR="0050707B">
        <w:rPr>
          <w:rFonts w:ascii="Arial" w:hAnsi="Arial" w:cs="Arial"/>
          <w:iCs/>
          <w:sz w:val="22"/>
          <w:szCs w:val="22"/>
        </w:rPr>
        <w:t>lower</w:t>
      </w:r>
      <w:r>
        <w:rPr>
          <w:rFonts w:ascii="Arial" w:hAnsi="Arial" w:cs="Arial"/>
          <w:iCs/>
          <w:sz w:val="22"/>
          <w:szCs w:val="22"/>
        </w:rPr>
        <w:t xml:space="preserve"> for freezer loads, thus </w:t>
      </w:r>
      <w:r w:rsidR="0050707B">
        <w:rPr>
          <w:rFonts w:ascii="Arial" w:hAnsi="Arial" w:cs="Arial"/>
          <w:iCs/>
          <w:sz w:val="22"/>
          <w:szCs w:val="22"/>
        </w:rPr>
        <w:t>increasing</w:t>
      </w:r>
      <w:r>
        <w:rPr>
          <w:rFonts w:ascii="Arial" w:hAnsi="Arial" w:cs="Arial"/>
          <w:iCs/>
          <w:sz w:val="22"/>
          <w:szCs w:val="22"/>
        </w:rPr>
        <w:t xml:space="preserve"> the per fan savings</w:t>
      </w:r>
      <w:r w:rsidR="0050707B">
        <w:rPr>
          <w:rFonts w:ascii="Arial" w:hAnsi="Arial" w:cs="Arial"/>
          <w:iCs/>
          <w:sz w:val="22"/>
          <w:szCs w:val="22"/>
        </w:rPr>
        <w:t xml:space="preserve"> despite the half-hour of no run time per day due to defrost</w:t>
      </w:r>
      <w:r>
        <w:rPr>
          <w:rFonts w:ascii="Arial" w:hAnsi="Arial" w:cs="Arial"/>
          <w:iCs/>
          <w:sz w:val="22"/>
          <w:szCs w:val="22"/>
        </w:rPr>
        <w:t>. This could be addressed by either using an average deemed savings for all fan applications or by having separate offerings.</w:t>
      </w:r>
    </w:p>
    <w:p w14:paraId="5E947A52" w14:textId="77777777" w:rsidR="003C1D85" w:rsidRPr="008E3621" w:rsidRDefault="003C1D85" w:rsidP="00C636BA">
      <w:pPr>
        <w:spacing w:after="60"/>
        <w:rPr>
          <w:rFonts w:cs="Arial"/>
          <w:b/>
        </w:rPr>
      </w:pPr>
    </w:p>
    <w:p w14:paraId="0224A08D" w14:textId="0DD2EEB2"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053957">
        <w:rPr>
          <w:rFonts w:cs="Arial"/>
          <w:noProof/>
          <w:sz w:val="22"/>
          <w:szCs w:val="22"/>
        </w:rPr>
        <w:t>6</w:t>
      </w:r>
      <w:r w:rsidR="00E05C7E" w:rsidRPr="008E3621">
        <w:rPr>
          <w:rFonts w:cs="Arial"/>
          <w:sz w:val="22"/>
          <w:szCs w:val="22"/>
        </w:rPr>
        <w:fldChar w:fldCharType="end"/>
      </w:r>
      <w:r w:rsidRPr="008E3621">
        <w:rPr>
          <w:rFonts w:cs="Arial"/>
          <w:b w:val="0"/>
          <w:sz w:val="22"/>
          <w:szCs w:val="22"/>
        </w:rPr>
        <w:t xml:space="preserve"> Proposed Measure Parameter </w:t>
      </w:r>
      <w:r w:rsidR="00637D84">
        <w:rPr>
          <w:rFonts w:cs="Arial"/>
          <w:b w:val="0"/>
          <w:sz w:val="22"/>
          <w:szCs w:val="22"/>
        </w:rPr>
        <w:t xml:space="preserve">Methods, </w:t>
      </w:r>
      <w:r w:rsidRPr="008E3621">
        <w:rPr>
          <w:rFonts w:cs="Arial"/>
          <w:b w:val="0"/>
          <w:sz w:val="22"/>
          <w:szCs w:val="22"/>
        </w:rPr>
        <w:t>Data</w:t>
      </w:r>
      <w:r w:rsidR="00637D84">
        <w:rPr>
          <w:rFonts w:cs="Arial"/>
          <w:b w:val="0"/>
          <w:sz w:val="22"/>
          <w:szCs w:val="22"/>
        </w:rPr>
        <w:t>, Assumptions</w:t>
      </w:r>
      <w:r w:rsidRPr="008E3621">
        <w:rPr>
          <w:rFonts w:cs="Arial"/>
          <w:b w:val="0"/>
          <w:sz w:val="22"/>
          <w:szCs w:val="22"/>
        </w:rPr>
        <w:t xml:space="preserve"> and Sources</w:t>
      </w:r>
    </w:p>
    <w:tbl>
      <w:tblPr>
        <w:tblStyle w:val="TableGrid"/>
        <w:tblW w:w="1305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513"/>
        <w:gridCol w:w="1367"/>
        <w:gridCol w:w="2510"/>
        <w:gridCol w:w="2250"/>
        <w:gridCol w:w="1832"/>
        <w:gridCol w:w="2160"/>
        <w:gridCol w:w="1424"/>
      </w:tblGrid>
      <w:tr w:rsidR="00951E98" w:rsidRPr="008E3621" w14:paraId="47879B9D" w14:textId="77777777">
        <w:tc>
          <w:tcPr>
            <w:tcW w:w="1513"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522FFBAA" w14:textId="77777777" w:rsidR="00657058" w:rsidRPr="008E3621" w:rsidRDefault="00657058" w:rsidP="00C636BA">
            <w:pPr>
              <w:jc w:val="center"/>
              <w:rPr>
                <w:rFonts w:cs="Arial"/>
                <w:b/>
              </w:rPr>
            </w:pPr>
            <w:r w:rsidRPr="008E3621">
              <w:rPr>
                <w:rFonts w:cs="Arial"/>
                <w:b/>
              </w:rPr>
              <w:t>Measure Parameter</w:t>
            </w:r>
          </w:p>
        </w:tc>
        <w:tc>
          <w:tcPr>
            <w:tcW w:w="1367"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5D69CAD" w14:textId="7908CC5D" w:rsidR="00657058" w:rsidRPr="008E3621" w:rsidRDefault="00657058" w:rsidP="00C636BA">
            <w:pPr>
              <w:jc w:val="center"/>
              <w:rPr>
                <w:rFonts w:cs="Arial"/>
                <w:b/>
              </w:rPr>
            </w:pPr>
            <w:r w:rsidRPr="008E3621">
              <w:rPr>
                <w:rFonts w:cs="Arial"/>
                <w:b/>
              </w:rPr>
              <w:t>Proposed Value</w:t>
            </w:r>
            <w:r w:rsidR="0032236F">
              <w:rPr>
                <w:rFonts w:cs="Arial"/>
                <w:b/>
              </w:rPr>
              <w:t xml:space="preserve"> (average of mid and low temp)</w:t>
            </w:r>
          </w:p>
        </w:tc>
        <w:tc>
          <w:tcPr>
            <w:tcW w:w="251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5456340" w14:textId="77777777" w:rsidR="00657058" w:rsidRPr="008E3621" w:rsidRDefault="00657058" w:rsidP="00657058">
            <w:pPr>
              <w:jc w:val="center"/>
              <w:rPr>
                <w:rFonts w:cs="Arial"/>
                <w:b/>
              </w:rPr>
            </w:pPr>
            <w:r w:rsidRPr="008E3621">
              <w:rPr>
                <w:rFonts w:cs="Arial"/>
                <w:b/>
              </w:rPr>
              <w:t>Methodology Description</w:t>
            </w:r>
          </w:p>
        </w:tc>
        <w:tc>
          <w:tcPr>
            <w:tcW w:w="225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FD7640" w14:textId="77777777" w:rsidR="00657058" w:rsidRPr="008E3621" w:rsidRDefault="00657058" w:rsidP="00657058">
            <w:pPr>
              <w:jc w:val="center"/>
              <w:rPr>
                <w:rFonts w:cs="Arial"/>
                <w:b/>
              </w:rPr>
            </w:pPr>
            <w:r w:rsidRPr="008E3621">
              <w:rPr>
                <w:rFonts w:cs="Arial"/>
                <w:b/>
              </w:rPr>
              <w:t>Key Assumptions</w:t>
            </w:r>
          </w:p>
        </w:tc>
        <w:tc>
          <w:tcPr>
            <w:tcW w:w="1832"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3AE5395" w14:textId="77777777" w:rsidR="00657058" w:rsidRPr="008E3621" w:rsidRDefault="00657058" w:rsidP="00657058">
            <w:pPr>
              <w:jc w:val="center"/>
              <w:rPr>
                <w:rFonts w:cs="Arial"/>
                <w:b/>
              </w:rPr>
            </w:pPr>
            <w:r w:rsidRPr="008E3621">
              <w:rPr>
                <w:rFonts w:cs="Arial"/>
                <w:b/>
              </w:rPr>
              <w:t>Data Source Name and Description</w:t>
            </w:r>
            <w:r w:rsidRPr="008E3621">
              <w:rPr>
                <w:rFonts w:cs="Arial"/>
                <w:b/>
                <w:vertAlign w:val="superscript"/>
              </w:rPr>
              <w:footnoteReference w:id="1"/>
            </w:r>
          </w:p>
        </w:tc>
        <w:tc>
          <w:tcPr>
            <w:tcW w:w="216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C96F45" w14:textId="77777777" w:rsidR="00657058" w:rsidRPr="008E3621" w:rsidRDefault="008E3621" w:rsidP="00C636BA">
            <w:pPr>
              <w:jc w:val="center"/>
              <w:rPr>
                <w:rFonts w:cs="Arial"/>
                <w:b/>
              </w:rPr>
            </w:pPr>
            <w:r w:rsidRPr="008E3621">
              <w:rPr>
                <w:rFonts w:cs="Arial"/>
                <w:b/>
              </w:rPr>
              <w:t>Input Requested from TF</w:t>
            </w:r>
          </w:p>
        </w:tc>
        <w:tc>
          <w:tcPr>
            <w:tcW w:w="1424"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7BE7260" w14:textId="77777777" w:rsidR="00657058" w:rsidRPr="008E3621" w:rsidRDefault="00657058" w:rsidP="00C636BA">
            <w:pPr>
              <w:jc w:val="center"/>
              <w:rPr>
                <w:rFonts w:cs="Arial"/>
                <w:b/>
              </w:rPr>
            </w:pPr>
            <w:r w:rsidRPr="008E3621">
              <w:rPr>
                <w:rFonts w:cs="Arial"/>
                <w:b/>
              </w:rPr>
              <w:t xml:space="preserve">Confidence Level </w:t>
            </w:r>
          </w:p>
          <w:p w14:paraId="00368B38" w14:textId="77777777" w:rsidR="00657058" w:rsidRPr="008E3621" w:rsidRDefault="00657058" w:rsidP="00C636BA">
            <w:pPr>
              <w:jc w:val="center"/>
              <w:rPr>
                <w:rFonts w:cs="Arial"/>
                <w:b/>
              </w:rPr>
            </w:pPr>
            <w:r w:rsidRPr="008E3621">
              <w:rPr>
                <w:rFonts w:cs="Arial"/>
                <w:b/>
              </w:rPr>
              <w:t>(High, Medium, Low)</w:t>
            </w:r>
          </w:p>
        </w:tc>
      </w:tr>
      <w:tr w:rsidR="00951E98" w:rsidRPr="008E3621" w14:paraId="3A1A78E1" w14:textId="77777777" w:rsidTr="00CC47DF">
        <w:tc>
          <w:tcPr>
            <w:tcW w:w="1513" w:type="dxa"/>
            <w:tcBorders>
              <w:top w:val="single" w:sz="24" w:space="0" w:color="548DD4" w:themeColor="text2" w:themeTint="99"/>
              <w:bottom w:val="single" w:sz="6" w:space="0" w:color="548DD4" w:themeColor="text2" w:themeTint="99"/>
            </w:tcBorders>
            <w:shd w:val="clear" w:color="auto" w:fill="FFFFFF" w:themeFill="background1"/>
            <w:vAlign w:val="center"/>
          </w:tcPr>
          <w:p w14:paraId="3869BFB0" w14:textId="77777777" w:rsidR="00951E98" w:rsidRPr="008E3621" w:rsidRDefault="00951E98" w:rsidP="00951E98">
            <w:pPr>
              <w:jc w:val="center"/>
              <w:rPr>
                <w:rFonts w:cs="Arial"/>
                <w:szCs w:val="22"/>
              </w:rPr>
            </w:pPr>
            <w:r w:rsidRPr="008E3621">
              <w:rPr>
                <w:rFonts w:cs="Arial"/>
                <w:szCs w:val="22"/>
              </w:rPr>
              <w:t>Baseline Energy</w:t>
            </w:r>
          </w:p>
          <w:p w14:paraId="4BEB8925" w14:textId="77777777" w:rsidR="00657058" w:rsidRPr="008E3621" w:rsidRDefault="00951E98" w:rsidP="00951E98">
            <w:pPr>
              <w:jc w:val="center"/>
              <w:rPr>
                <w:rFonts w:cs="Arial"/>
                <w:szCs w:val="22"/>
              </w:rPr>
            </w:pPr>
            <w:r w:rsidRPr="008E3621">
              <w:rPr>
                <w:rFonts w:cs="Arial"/>
                <w:szCs w:val="22"/>
              </w:rPr>
              <w:t>kWh/yr</w:t>
            </w:r>
          </w:p>
        </w:tc>
        <w:tc>
          <w:tcPr>
            <w:tcW w:w="1367" w:type="dxa"/>
            <w:tcBorders>
              <w:top w:val="single" w:sz="24" w:space="0" w:color="548DD4" w:themeColor="text2" w:themeTint="99"/>
              <w:bottom w:val="single" w:sz="6" w:space="0" w:color="548DD4" w:themeColor="text2" w:themeTint="99"/>
            </w:tcBorders>
            <w:shd w:val="clear" w:color="auto" w:fill="FFFFFF" w:themeFill="background1"/>
            <w:vAlign w:val="center"/>
          </w:tcPr>
          <w:p w14:paraId="25F931DA" w14:textId="2F447870" w:rsidR="00657058" w:rsidRPr="008E3621" w:rsidRDefault="003E6499" w:rsidP="00CC47DF">
            <w:pPr>
              <w:jc w:val="center"/>
              <w:rPr>
                <w:rFonts w:cs="Arial"/>
                <w:szCs w:val="22"/>
              </w:rPr>
            </w:pPr>
            <w:r>
              <w:rPr>
                <w:rFonts w:cs="Arial"/>
                <w:szCs w:val="22"/>
              </w:rPr>
              <w:t>2</w:t>
            </w:r>
            <w:r w:rsidR="002E7F92">
              <w:rPr>
                <w:rFonts w:cs="Arial"/>
                <w:szCs w:val="22"/>
              </w:rPr>
              <w:t>86</w:t>
            </w:r>
            <w:r>
              <w:rPr>
                <w:rFonts w:cs="Arial"/>
                <w:szCs w:val="22"/>
              </w:rPr>
              <w:t>.</w:t>
            </w:r>
            <w:r w:rsidR="002E7F92">
              <w:rPr>
                <w:rFonts w:cs="Arial"/>
                <w:szCs w:val="22"/>
              </w:rPr>
              <w:t>4</w:t>
            </w:r>
          </w:p>
        </w:tc>
        <w:tc>
          <w:tcPr>
            <w:tcW w:w="2510" w:type="dxa"/>
            <w:tcBorders>
              <w:top w:val="single" w:sz="24" w:space="0" w:color="548DD4" w:themeColor="text2" w:themeTint="99"/>
              <w:bottom w:val="single" w:sz="6" w:space="0" w:color="548DD4" w:themeColor="text2" w:themeTint="99"/>
            </w:tcBorders>
            <w:shd w:val="clear" w:color="auto" w:fill="FFFFFF" w:themeFill="background1"/>
          </w:tcPr>
          <w:p w14:paraId="63FA30C4" w14:textId="73D256A9" w:rsidR="00657058" w:rsidRPr="008E3621" w:rsidRDefault="00C20BF9" w:rsidP="00C636BA">
            <w:pPr>
              <w:jc w:val="center"/>
              <w:rPr>
                <w:rFonts w:cs="Arial"/>
                <w:szCs w:val="22"/>
              </w:rPr>
            </w:pPr>
            <w:r>
              <w:rPr>
                <w:rFonts w:cs="Arial"/>
                <w:szCs w:val="22"/>
              </w:rPr>
              <w:t>Emerging technologies field study</w:t>
            </w:r>
          </w:p>
        </w:tc>
        <w:tc>
          <w:tcPr>
            <w:tcW w:w="2250" w:type="dxa"/>
            <w:tcBorders>
              <w:top w:val="single" w:sz="24" w:space="0" w:color="548DD4" w:themeColor="text2" w:themeTint="99"/>
              <w:bottom w:val="single" w:sz="6" w:space="0" w:color="548DD4" w:themeColor="text2" w:themeTint="99"/>
            </w:tcBorders>
            <w:shd w:val="clear" w:color="auto" w:fill="FFFFFF" w:themeFill="background1"/>
          </w:tcPr>
          <w:p w14:paraId="102DAE5E" w14:textId="67539318" w:rsidR="00657058" w:rsidRPr="008E3621" w:rsidRDefault="00C20BF9" w:rsidP="00C636BA">
            <w:pPr>
              <w:jc w:val="center"/>
              <w:rPr>
                <w:rFonts w:cs="Arial"/>
                <w:szCs w:val="22"/>
              </w:rPr>
            </w:pPr>
            <w:r>
              <w:rPr>
                <w:rFonts w:cs="Arial"/>
                <w:szCs w:val="22"/>
              </w:rPr>
              <w:t>Field case study is representative of California market</w:t>
            </w:r>
          </w:p>
        </w:tc>
        <w:tc>
          <w:tcPr>
            <w:tcW w:w="1832" w:type="dxa"/>
            <w:tcBorders>
              <w:top w:val="single" w:sz="24" w:space="0" w:color="548DD4" w:themeColor="text2" w:themeTint="99"/>
              <w:bottom w:val="single" w:sz="6" w:space="0" w:color="548DD4" w:themeColor="text2" w:themeTint="99"/>
            </w:tcBorders>
            <w:shd w:val="clear" w:color="auto" w:fill="FFFFFF" w:themeFill="background1"/>
            <w:vAlign w:val="center"/>
          </w:tcPr>
          <w:p w14:paraId="4386F37C" w14:textId="2FDDBDBD" w:rsidR="00657058" w:rsidRPr="008E3621" w:rsidRDefault="00107589" w:rsidP="00C636BA">
            <w:pPr>
              <w:jc w:val="center"/>
              <w:rPr>
                <w:rFonts w:cs="Arial"/>
                <w:szCs w:val="22"/>
              </w:rPr>
            </w:pPr>
            <w:hyperlink r:id="rId18" w:history="1">
              <w:r w:rsidR="003E6499">
                <w:rPr>
                  <w:rStyle w:val="Hyperlink"/>
                  <w:rFonts w:cs="Arial"/>
                  <w:szCs w:val="22"/>
                </w:rPr>
                <w:t>ET15SDG1061 Report</w:t>
              </w:r>
            </w:hyperlink>
          </w:p>
        </w:tc>
        <w:tc>
          <w:tcPr>
            <w:tcW w:w="2160" w:type="dxa"/>
            <w:tcBorders>
              <w:top w:val="single" w:sz="24" w:space="0" w:color="548DD4" w:themeColor="text2" w:themeTint="99"/>
              <w:bottom w:val="single" w:sz="6" w:space="0" w:color="548DD4" w:themeColor="text2" w:themeTint="99"/>
            </w:tcBorders>
            <w:shd w:val="clear" w:color="auto" w:fill="FFFFFF" w:themeFill="background1"/>
            <w:vAlign w:val="center"/>
          </w:tcPr>
          <w:p w14:paraId="2B37C3C0" w14:textId="77777777" w:rsidR="00657058" w:rsidRPr="008E3621" w:rsidRDefault="00657058" w:rsidP="00C636BA">
            <w:pPr>
              <w:jc w:val="center"/>
              <w:rPr>
                <w:rFonts w:cs="Arial"/>
                <w:szCs w:val="22"/>
              </w:rPr>
            </w:pPr>
          </w:p>
        </w:tc>
        <w:tc>
          <w:tcPr>
            <w:tcW w:w="1424" w:type="dxa"/>
            <w:tcBorders>
              <w:top w:val="single" w:sz="24" w:space="0" w:color="548DD4" w:themeColor="text2" w:themeTint="99"/>
              <w:bottom w:val="single" w:sz="6" w:space="0" w:color="548DD4" w:themeColor="text2" w:themeTint="99"/>
            </w:tcBorders>
            <w:shd w:val="clear" w:color="auto" w:fill="FFFFFF" w:themeFill="background1"/>
          </w:tcPr>
          <w:p w14:paraId="155D5F37" w14:textId="3A361204" w:rsidR="00657058" w:rsidRPr="008E3621" w:rsidRDefault="003E6499" w:rsidP="00C636BA">
            <w:pPr>
              <w:jc w:val="center"/>
              <w:rPr>
                <w:rFonts w:cs="Arial"/>
                <w:szCs w:val="22"/>
              </w:rPr>
            </w:pPr>
            <w:r>
              <w:rPr>
                <w:rFonts w:cs="Arial"/>
                <w:szCs w:val="22"/>
              </w:rPr>
              <w:t>High</w:t>
            </w:r>
          </w:p>
        </w:tc>
      </w:tr>
      <w:tr w:rsidR="00951E98" w:rsidRPr="008E3621" w14:paraId="6EEA1A0E" w14:textId="77777777" w:rsidTr="00CC47DF">
        <w:tc>
          <w:tcPr>
            <w:tcW w:w="1513"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249C168C" w14:textId="77777777" w:rsidR="00951E98" w:rsidRPr="008E3621" w:rsidRDefault="00951E98" w:rsidP="00C636BA">
            <w:pPr>
              <w:jc w:val="center"/>
              <w:rPr>
                <w:rFonts w:cs="Arial"/>
                <w:szCs w:val="22"/>
              </w:rPr>
            </w:pPr>
            <w:r w:rsidRPr="008E3621">
              <w:rPr>
                <w:rFonts w:cs="Arial"/>
                <w:szCs w:val="22"/>
              </w:rPr>
              <w:t>Measure Energy</w:t>
            </w:r>
          </w:p>
          <w:p w14:paraId="1319C54A" w14:textId="77777777" w:rsidR="00951E98" w:rsidRPr="008E3621" w:rsidRDefault="00951E98" w:rsidP="00C636BA">
            <w:pPr>
              <w:jc w:val="center"/>
              <w:rPr>
                <w:rFonts w:cs="Arial"/>
                <w:szCs w:val="22"/>
              </w:rPr>
            </w:pPr>
            <w:r w:rsidRPr="008E3621">
              <w:rPr>
                <w:rFonts w:cs="Arial"/>
                <w:szCs w:val="22"/>
              </w:rPr>
              <w:t>kWh/yr</w:t>
            </w:r>
          </w:p>
        </w:tc>
        <w:tc>
          <w:tcPr>
            <w:tcW w:w="1367"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5EB265D9" w14:textId="6AD45FE6" w:rsidR="00951E98" w:rsidRPr="008E3621" w:rsidRDefault="002E7F92" w:rsidP="00CC47DF">
            <w:pPr>
              <w:jc w:val="center"/>
              <w:rPr>
                <w:rFonts w:cs="Arial"/>
                <w:szCs w:val="22"/>
              </w:rPr>
            </w:pPr>
            <w:r>
              <w:rPr>
                <w:rFonts w:cs="Arial"/>
                <w:szCs w:val="22"/>
              </w:rPr>
              <w:t>180</w:t>
            </w:r>
            <w:r w:rsidR="003E6499">
              <w:rPr>
                <w:rFonts w:cs="Arial"/>
                <w:szCs w:val="22"/>
              </w:rPr>
              <w:t>.</w:t>
            </w:r>
            <w:r>
              <w:rPr>
                <w:rFonts w:cs="Arial"/>
                <w:szCs w:val="22"/>
              </w:rPr>
              <w:t>8</w:t>
            </w:r>
          </w:p>
        </w:tc>
        <w:tc>
          <w:tcPr>
            <w:tcW w:w="2510" w:type="dxa"/>
            <w:tcBorders>
              <w:top w:val="single" w:sz="6" w:space="0" w:color="548DD4" w:themeColor="text2" w:themeTint="99"/>
              <w:bottom w:val="single" w:sz="6" w:space="0" w:color="548DD4" w:themeColor="text2" w:themeTint="99"/>
            </w:tcBorders>
            <w:shd w:val="clear" w:color="auto" w:fill="DAEEF3" w:themeFill="accent5" w:themeFillTint="33"/>
          </w:tcPr>
          <w:p w14:paraId="7CFA17FC" w14:textId="48B7F87B" w:rsidR="00951E98" w:rsidRPr="008E3621" w:rsidRDefault="003E6499" w:rsidP="00C636BA">
            <w:pPr>
              <w:jc w:val="center"/>
              <w:rPr>
                <w:rFonts w:cs="Arial"/>
                <w:szCs w:val="22"/>
              </w:rPr>
            </w:pPr>
            <w:r>
              <w:rPr>
                <w:rFonts w:cs="Arial"/>
                <w:szCs w:val="22"/>
              </w:rPr>
              <w:t>Emerging technologies field study</w:t>
            </w:r>
          </w:p>
        </w:tc>
        <w:tc>
          <w:tcPr>
            <w:tcW w:w="2250" w:type="dxa"/>
            <w:tcBorders>
              <w:top w:val="single" w:sz="6" w:space="0" w:color="548DD4" w:themeColor="text2" w:themeTint="99"/>
              <w:bottom w:val="single" w:sz="6" w:space="0" w:color="548DD4" w:themeColor="text2" w:themeTint="99"/>
            </w:tcBorders>
            <w:shd w:val="clear" w:color="auto" w:fill="DAEEF3" w:themeFill="accent5" w:themeFillTint="33"/>
          </w:tcPr>
          <w:p w14:paraId="21771CCE" w14:textId="0D86788D" w:rsidR="00951E98" w:rsidRPr="008E3621" w:rsidRDefault="003E6499" w:rsidP="00C636BA">
            <w:pPr>
              <w:jc w:val="center"/>
              <w:rPr>
                <w:rFonts w:cs="Arial"/>
                <w:szCs w:val="22"/>
              </w:rPr>
            </w:pPr>
            <w:r>
              <w:rPr>
                <w:rFonts w:cs="Arial"/>
                <w:szCs w:val="22"/>
              </w:rPr>
              <w:t>Field case study is representative of California market</w:t>
            </w:r>
          </w:p>
        </w:tc>
        <w:tc>
          <w:tcPr>
            <w:tcW w:w="1832"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7198C0DB" w14:textId="53C0C360" w:rsidR="00951E98" w:rsidRPr="008E3621" w:rsidRDefault="00107589" w:rsidP="00C636BA">
            <w:pPr>
              <w:jc w:val="center"/>
              <w:rPr>
                <w:rFonts w:cs="Arial"/>
                <w:szCs w:val="22"/>
              </w:rPr>
            </w:pPr>
            <w:hyperlink r:id="rId19" w:history="1">
              <w:r w:rsidR="003E6499">
                <w:rPr>
                  <w:rStyle w:val="Hyperlink"/>
                  <w:rFonts w:cs="Arial"/>
                  <w:szCs w:val="22"/>
                </w:rPr>
                <w:t>ET15SDG1061 Report</w:t>
              </w:r>
            </w:hyperlink>
          </w:p>
        </w:tc>
        <w:tc>
          <w:tcPr>
            <w:tcW w:w="216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0C2B9057" w14:textId="77777777" w:rsidR="00951E98" w:rsidRPr="008E3621" w:rsidRDefault="00951E98" w:rsidP="00C636BA">
            <w:pPr>
              <w:jc w:val="center"/>
              <w:rPr>
                <w:rFonts w:cs="Arial"/>
                <w:szCs w:val="22"/>
              </w:rPr>
            </w:pPr>
          </w:p>
        </w:tc>
        <w:tc>
          <w:tcPr>
            <w:tcW w:w="1424" w:type="dxa"/>
            <w:tcBorders>
              <w:top w:val="single" w:sz="6" w:space="0" w:color="548DD4" w:themeColor="text2" w:themeTint="99"/>
              <w:bottom w:val="single" w:sz="6" w:space="0" w:color="548DD4" w:themeColor="text2" w:themeTint="99"/>
            </w:tcBorders>
            <w:shd w:val="clear" w:color="auto" w:fill="DAEEF3" w:themeFill="accent5" w:themeFillTint="33"/>
          </w:tcPr>
          <w:p w14:paraId="7E4D19F7" w14:textId="475E03F6" w:rsidR="00951E98" w:rsidRPr="008E3621" w:rsidRDefault="003E6499" w:rsidP="00C636BA">
            <w:pPr>
              <w:jc w:val="center"/>
              <w:rPr>
                <w:rFonts w:cs="Arial"/>
                <w:szCs w:val="22"/>
              </w:rPr>
            </w:pPr>
            <w:r>
              <w:rPr>
                <w:rFonts w:cs="Arial"/>
                <w:szCs w:val="22"/>
              </w:rPr>
              <w:t>High</w:t>
            </w:r>
          </w:p>
        </w:tc>
      </w:tr>
      <w:tr w:rsidR="00951E98" w:rsidRPr="008E3621" w14:paraId="5C4C5A70" w14:textId="77777777" w:rsidTr="00CC47DF">
        <w:tc>
          <w:tcPr>
            <w:tcW w:w="1513" w:type="dxa"/>
            <w:tcBorders>
              <w:top w:val="single" w:sz="6" w:space="0" w:color="548DD4" w:themeColor="text2" w:themeTint="99"/>
              <w:bottom w:val="single" w:sz="24" w:space="0" w:color="548DD4" w:themeColor="text2" w:themeTint="99"/>
            </w:tcBorders>
            <w:shd w:val="clear" w:color="auto" w:fill="FFFFFF" w:themeFill="background1"/>
            <w:vAlign w:val="center"/>
          </w:tcPr>
          <w:p w14:paraId="25F678B5" w14:textId="77777777" w:rsidR="00951E98" w:rsidRPr="008E3621" w:rsidRDefault="00951E98" w:rsidP="00C636BA">
            <w:pPr>
              <w:jc w:val="center"/>
              <w:rPr>
                <w:rFonts w:cs="Arial"/>
                <w:szCs w:val="22"/>
              </w:rPr>
            </w:pPr>
            <w:r w:rsidRPr="008E3621">
              <w:rPr>
                <w:rFonts w:cs="Arial"/>
                <w:szCs w:val="22"/>
              </w:rPr>
              <w:t>Savings – kWh/yr</w:t>
            </w:r>
          </w:p>
        </w:tc>
        <w:tc>
          <w:tcPr>
            <w:tcW w:w="1367" w:type="dxa"/>
            <w:tcBorders>
              <w:top w:val="single" w:sz="6" w:space="0" w:color="548DD4" w:themeColor="text2" w:themeTint="99"/>
              <w:bottom w:val="single" w:sz="24" w:space="0" w:color="548DD4" w:themeColor="text2" w:themeTint="99"/>
            </w:tcBorders>
            <w:shd w:val="clear" w:color="auto" w:fill="FFFFFF" w:themeFill="background1"/>
            <w:vAlign w:val="center"/>
          </w:tcPr>
          <w:p w14:paraId="7B8187B3" w14:textId="473EBC3D" w:rsidR="00951E98" w:rsidRPr="008E3621" w:rsidRDefault="002E7F92" w:rsidP="00CC47DF">
            <w:pPr>
              <w:jc w:val="center"/>
              <w:rPr>
                <w:rFonts w:cs="Arial"/>
                <w:szCs w:val="22"/>
              </w:rPr>
            </w:pPr>
            <w:r>
              <w:rPr>
                <w:rFonts w:cs="Arial"/>
                <w:szCs w:val="22"/>
              </w:rPr>
              <w:t>105</w:t>
            </w:r>
            <w:r w:rsidR="003E6499">
              <w:rPr>
                <w:rFonts w:cs="Arial"/>
                <w:szCs w:val="22"/>
              </w:rPr>
              <w:t>.</w:t>
            </w:r>
            <w:r w:rsidR="00CC47DF">
              <w:rPr>
                <w:rFonts w:cs="Arial"/>
                <w:szCs w:val="22"/>
              </w:rPr>
              <w:t>6</w:t>
            </w:r>
          </w:p>
        </w:tc>
        <w:tc>
          <w:tcPr>
            <w:tcW w:w="2510" w:type="dxa"/>
            <w:tcBorders>
              <w:top w:val="single" w:sz="6" w:space="0" w:color="548DD4" w:themeColor="text2" w:themeTint="99"/>
              <w:bottom w:val="single" w:sz="24" w:space="0" w:color="548DD4" w:themeColor="text2" w:themeTint="99"/>
            </w:tcBorders>
            <w:shd w:val="clear" w:color="auto" w:fill="FFFFFF" w:themeFill="background1"/>
          </w:tcPr>
          <w:p w14:paraId="333FD6F6" w14:textId="54C4719B" w:rsidR="00951E98" w:rsidRPr="008E3621" w:rsidRDefault="003E6499" w:rsidP="00C636BA">
            <w:pPr>
              <w:jc w:val="center"/>
              <w:rPr>
                <w:rFonts w:cs="Arial"/>
                <w:szCs w:val="22"/>
              </w:rPr>
            </w:pPr>
            <w:r>
              <w:rPr>
                <w:rFonts w:cs="Arial"/>
                <w:szCs w:val="22"/>
              </w:rPr>
              <w:t>Emerging technologies field study</w:t>
            </w:r>
          </w:p>
        </w:tc>
        <w:tc>
          <w:tcPr>
            <w:tcW w:w="2250" w:type="dxa"/>
            <w:tcBorders>
              <w:top w:val="single" w:sz="6" w:space="0" w:color="548DD4" w:themeColor="text2" w:themeTint="99"/>
              <w:bottom w:val="single" w:sz="24" w:space="0" w:color="548DD4" w:themeColor="text2" w:themeTint="99"/>
            </w:tcBorders>
            <w:shd w:val="clear" w:color="auto" w:fill="FFFFFF" w:themeFill="background1"/>
          </w:tcPr>
          <w:p w14:paraId="33267BCD" w14:textId="7ACB74DD" w:rsidR="00951E98" w:rsidRPr="008E3621" w:rsidRDefault="003E6499" w:rsidP="00C636BA">
            <w:pPr>
              <w:jc w:val="center"/>
              <w:rPr>
                <w:rFonts w:cs="Arial"/>
                <w:szCs w:val="22"/>
              </w:rPr>
            </w:pPr>
            <w:r>
              <w:rPr>
                <w:rFonts w:cs="Arial"/>
                <w:szCs w:val="22"/>
              </w:rPr>
              <w:t>Field case study is representative of California market</w:t>
            </w:r>
          </w:p>
        </w:tc>
        <w:tc>
          <w:tcPr>
            <w:tcW w:w="1832" w:type="dxa"/>
            <w:tcBorders>
              <w:top w:val="single" w:sz="6" w:space="0" w:color="548DD4" w:themeColor="text2" w:themeTint="99"/>
              <w:bottom w:val="single" w:sz="24" w:space="0" w:color="548DD4" w:themeColor="text2" w:themeTint="99"/>
            </w:tcBorders>
            <w:shd w:val="clear" w:color="auto" w:fill="FFFFFF" w:themeFill="background1"/>
            <w:vAlign w:val="center"/>
          </w:tcPr>
          <w:p w14:paraId="6668388B" w14:textId="0FF451C2" w:rsidR="00951E98" w:rsidRPr="008E3621" w:rsidRDefault="00107589" w:rsidP="00C636BA">
            <w:pPr>
              <w:jc w:val="center"/>
              <w:rPr>
                <w:rFonts w:cs="Arial"/>
                <w:szCs w:val="22"/>
              </w:rPr>
            </w:pPr>
            <w:hyperlink r:id="rId20" w:history="1">
              <w:r w:rsidR="003E6499">
                <w:rPr>
                  <w:rStyle w:val="Hyperlink"/>
                  <w:rFonts w:cs="Arial"/>
                  <w:szCs w:val="22"/>
                </w:rPr>
                <w:t>ET15SDG1061 Report</w:t>
              </w:r>
            </w:hyperlink>
          </w:p>
        </w:tc>
        <w:tc>
          <w:tcPr>
            <w:tcW w:w="2160" w:type="dxa"/>
            <w:tcBorders>
              <w:top w:val="single" w:sz="6" w:space="0" w:color="548DD4" w:themeColor="text2" w:themeTint="99"/>
              <w:bottom w:val="single" w:sz="24" w:space="0" w:color="548DD4" w:themeColor="text2" w:themeTint="99"/>
            </w:tcBorders>
            <w:shd w:val="clear" w:color="auto" w:fill="FFFFFF" w:themeFill="background1"/>
            <w:vAlign w:val="center"/>
          </w:tcPr>
          <w:p w14:paraId="474E1ADE" w14:textId="77777777" w:rsidR="00951E98" w:rsidRPr="008E3621" w:rsidRDefault="00951E98" w:rsidP="00C636BA">
            <w:pPr>
              <w:jc w:val="center"/>
              <w:rPr>
                <w:rFonts w:cs="Arial"/>
                <w:szCs w:val="22"/>
              </w:rPr>
            </w:pPr>
          </w:p>
        </w:tc>
        <w:tc>
          <w:tcPr>
            <w:tcW w:w="1424" w:type="dxa"/>
            <w:tcBorders>
              <w:top w:val="single" w:sz="6" w:space="0" w:color="548DD4" w:themeColor="text2" w:themeTint="99"/>
              <w:bottom w:val="single" w:sz="24" w:space="0" w:color="548DD4" w:themeColor="text2" w:themeTint="99"/>
            </w:tcBorders>
            <w:shd w:val="clear" w:color="auto" w:fill="FFFFFF" w:themeFill="background1"/>
          </w:tcPr>
          <w:p w14:paraId="1A697F7B" w14:textId="7CCACC68" w:rsidR="00951E98" w:rsidRPr="008E3621" w:rsidRDefault="003E6499" w:rsidP="00C636BA">
            <w:pPr>
              <w:jc w:val="center"/>
              <w:rPr>
                <w:rFonts w:cs="Arial"/>
                <w:szCs w:val="22"/>
              </w:rPr>
            </w:pPr>
            <w:r>
              <w:rPr>
                <w:rFonts w:cs="Arial"/>
                <w:szCs w:val="22"/>
              </w:rPr>
              <w:t>High</w:t>
            </w:r>
          </w:p>
        </w:tc>
      </w:tr>
      <w:tr w:rsidR="00951E98" w:rsidRPr="008E3621" w14:paraId="2067DCA6" w14:textId="77777777" w:rsidTr="00CC47DF">
        <w:tc>
          <w:tcPr>
            <w:tcW w:w="1513"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783662D6" w14:textId="77777777" w:rsidR="00951E98" w:rsidRPr="008E3621" w:rsidRDefault="00951E98" w:rsidP="00951E98">
            <w:pPr>
              <w:jc w:val="center"/>
              <w:rPr>
                <w:rFonts w:cs="Arial"/>
                <w:szCs w:val="22"/>
              </w:rPr>
            </w:pPr>
            <w:r w:rsidRPr="008E3621">
              <w:rPr>
                <w:rFonts w:cs="Arial"/>
                <w:szCs w:val="22"/>
              </w:rPr>
              <w:lastRenderedPageBreak/>
              <w:t>Baseline Demand</w:t>
            </w:r>
          </w:p>
          <w:p w14:paraId="597A9803" w14:textId="5A32E109" w:rsidR="00951E98" w:rsidRPr="008E3621" w:rsidRDefault="002E7F92" w:rsidP="00951E98">
            <w:pPr>
              <w:jc w:val="center"/>
              <w:rPr>
                <w:rFonts w:cs="Arial"/>
                <w:szCs w:val="22"/>
              </w:rPr>
            </w:pPr>
            <w:r>
              <w:rPr>
                <w:rFonts w:cs="Arial"/>
                <w:szCs w:val="22"/>
              </w:rPr>
              <w:t>kW</w:t>
            </w:r>
          </w:p>
        </w:tc>
        <w:tc>
          <w:tcPr>
            <w:tcW w:w="1367"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4F269710" w14:textId="68780E7D" w:rsidR="00951E98" w:rsidRPr="008E3621" w:rsidRDefault="002E7F92" w:rsidP="00CC47DF">
            <w:pPr>
              <w:jc w:val="center"/>
              <w:rPr>
                <w:rFonts w:cs="Arial"/>
                <w:szCs w:val="22"/>
              </w:rPr>
            </w:pPr>
            <w:r>
              <w:rPr>
                <w:rFonts w:cs="Arial"/>
                <w:szCs w:val="22"/>
              </w:rPr>
              <w:t>.0</w:t>
            </w:r>
            <w:r w:rsidR="0032236F">
              <w:rPr>
                <w:rFonts w:cs="Arial"/>
                <w:szCs w:val="22"/>
              </w:rPr>
              <w:t>331</w:t>
            </w:r>
          </w:p>
        </w:tc>
        <w:tc>
          <w:tcPr>
            <w:tcW w:w="2510" w:type="dxa"/>
            <w:tcBorders>
              <w:top w:val="single" w:sz="24" w:space="0" w:color="548DD4" w:themeColor="text2" w:themeTint="99"/>
              <w:bottom w:val="single" w:sz="2" w:space="0" w:color="548DD4" w:themeColor="text2" w:themeTint="99"/>
            </w:tcBorders>
            <w:shd w:val="clear" w:color="auto" w:fill="DAEEF3" w:themeFill="accent5" w:themeFillTint="33"/>
          </w:tcPr>
          <w:p w14:paraId="167E10D7" w14:textId="0F4728DE" w:rsidR="00951E98" w:rsidRPr="008E3621" w:rsidRDefault="003E6499" w:rsidP="00951E98">
            <w:pPr>
              <w:jc w:val="center"/>
              <w:rPr>
                <w:rFonts w:cs="Arial"/>
                <w:szCs w:val="22"/>
              </w:rPr>
            </w:pPr>
            <w:r>
              <w:rPr>
                <w:rFonts w:cs="Arial"/>
                <w:szCs w:val="22"/>
              </w:rPr>
              <w:t>Emerging technologies field study</w:t>
            </w:r>
          </w:p>
        </w:tc>
        <w:tc>
          <w:tcPr>
            <w:tcW w:w="2250" w:type="dxa"/>
            <w:tcBorders>
              <w:top w:val="single" w:sz="24" w:space="0" w:color="548DD4" w:themeColor="text2" w:themeTint="99"/>
              <w:bottom w:val="single" w:sz="2" w:space="0" w:color="548DD4" w:themeColor="text2" w:themeTint="99"/>
            </w:tcBorders>
            <w:shd w:val="clear" w:color="auto" w:fill="DAEEF3" w:themeFill="accent5" w:themeFillTint="33"/>
          </w:tcPr>
          <w:p w14:paraId="7D58BB47" w14:textId="6A4F329A" w:rsidR="00951E98" w:rsidRPr="008E3621" w:rsidRDefault="003E6499" w:rsidP="00951E98">
            <w:pPr>
              <w:jc w:val="center"/>
              <w:rPr>
                <w:rFonts w:cs="Arial"/>
                <w:szCs w:val="22"/>
              </w:rPr>
            </w:pPr>
            <w:r>
              <w:rPr>
                <w:rFonts w:cs="Arial"/>
                <w:szCs w:val="22"/>
              </w:rPr>
              <w:t>Field case study is representative of California market</w:t>
            </w:r>
          </w:p>
        </w:tc>
        <w:tc>
          <w:tcPr>
            <w:tcW w:w="1832"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50159551" w14:textId="25141EF5" w:rsidR="00951E98" w:rsidRPr="008E3621" w:rsidRDefault="00107589" w:rsidP="00951E98">
            <w:pPr>
              <w:jc w:val="center"/>
              <w:rPr>
                <w:rFonts w:cs="Arial"/>
                <w:szCs w:val="22"/>
              </w:rPr>
            </w:pPr>
            <w:hyperlink r:id="rId21" w:history="1">
              <w:r w:rsidR="003E6499">
                <w:rPr>
                  <w:rStyle w:val="Hyperlink"/>
                  <w:rFonts w:cs="Arial"/>
                  <w:szCs w:val="22"/>
                </w:rPr>
                <w:t>ET15SDG1061 Report</w:t>
              </w:r>
            </w:hyperlink>
          </w:p>
        </w:tc>
        <w:tc>
          <w:tcPr>
            <w:tcW w:w="216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670E2E72" w14:textId="77777777" w:rsidR="00951E98" w:rsidRPr="008E3621" w:rsidRDefault="00951E98" w:rsidP="00951E98">
            <w:pPr>
              <w:jc w:val="center"/>
              <w:rPr>
                <w:rFonts w:cs="Arial"/>
                <w:szCs w:val="22"/>
              </w:rPr>
            </w:pPr>
          </w:p>
        </w:tc>
        <w:tc>
          <w:tcPr>
            <w:tcW w:w="1424" w:type="dxa"/>
            <w:tcBorders>
              <w:top w:val="single" w:sz="24" w:space="0" w:color="548DD4" w:themeColor="text2" w:themeTint="99"/>
              <w:bottom w:val="single" w:sz="2" w:space="0" w:color="548DD4" w:themeColor="text2" w:themeTint="99"/>
            </w:tcBorders>
            <w:shd w:val="clear" w:color="auto" w:fill="DAEEF3" w:themeFill="accent5" w:themeFillTint="33"/>
          </w:tcPr>
          <w:p w14:paraId="2618CC71" w14:textId="0B109C08" w:rsidR="00951E98" w:rsidRPr="008E3621" w:rsidRDefault="003E6499" w:rsidP="00951E98">
            <w:pPr>
              <w:jc w:val="center"/>
              <w:rPr>
                <w:rFonts w:cs="Arial"/>
                <w:szCs w:val="22"/>
              </w:rPr>
            </w:pPr>
            <w:r>
              <w:rPr>
                <w:rFonts w:cs="Arial"/>
                <w:szCs w:val="22"/>
              </w:rPr>
              <w:t>High</w:t>
            </w:r>
          </w:p>
        </w:tc>
      </w:tr>
      <w:tr w:rsidR="00951E98" w:rsidRPr="008E3621" w14:paraId="0D205B74" w14:textId="77777777" w:rsidTr="00CC47DF">
        <w:tc>
          <w:tcPr>
            <w:tcW w:w="1513" w:type="dxa"/>
            <w:tcBorders>
              <w:top w:val="single" w:sz="2" w:space="0" w:color="548DD4" w:themeColor="text2" w:themeTint="99"/>
              <w:left w:val="single" w:sz="2" w:space="0" w:color="548DD4" w:themeColor="text2" w:themeTint="99"/>
              <w:bottom w:val="single" w:sz="2" w:space="0" w:color="548DD4" w:themeColor="text2" w:themeTint="99"/>
            </w:tcBorders>
            <w:shd w:val="clear" w:color="auto" w:fill="FFFFFF" w:themeFill="background1"/>
            <w:vAlign w:val="center"/>
          </w:tcPr>
          <w:p w14:paraId="4B889EBA" w14:textId="77777777" w:rsidR="00951E98" w:rsidRPr="008E3621" w:rsidRDefault="00951E98" w:rsidP="00951E98">
            <w:pPr>
              <w:jc w:val="center"/>
              <w:rPr>
                <w:rFonts w:cs="Arial"/>
                <w:szCs w:val="22"/>
              </w:rPr>
            </w:pPr>
            <w:r w:rsidRPr="008E3621">
              <w:rPr>
                <w:rFonts w:cs="Arial"/>
                <w:szCs w:val="22"/>
              </w:rPr>
              <w:t>Measure Demand</w:t>
            </w:r>
          </w:p>
          <w:p w14:paraId="533E17EA" w14:textId="50D0BE9A" w:rsidR="00951E98" w:rsidRPr="008E3621" w:rsidRDefault="002E7F92" w:rsidP="00951E98">
            <w:pPr>
              <w:jc w:val="center"/>
              <w:rPr>
                <w:rFonts w:cs="Arial"/>
                <w:szCs w:val="22"/>
              </w:rPr>
            </w:pPr>
            <w:r>
              <w:rPr>
                <w:rFonts w:cs="Arial"/>
                <w:szCs w:val="22"/>
              </w:rPr>
              <w:t>kW</w:t>
            </w:r>
          </w:p>
        </w:tc>
        <w:tc>
          <w:tcPr>
            <w:tcW w:w="1367" w:type="dxa"/>
            <w:tcBorders>
              <w:top w:val="single" w:sz="2" w:space="0" w:color="548DD4" w:themeColor="text2" w:themeTint="99"/>
              <w:bottom w:val="single" w:sz="2" w:space="0" w:color="548DD4" w:themeColor="text2" w:themeTint="99"/>
            </w:tcBorders>
            <w:shd w:val="clear" w:color="auto" w:fill="FFFFFF" w:themeFill="background1"/>
            <w:vAlign w:val="center"/>
          </w:tcPr>
          <w:p w14:paraId="10285DC1" w14:textId="1F1A544F" w:rsidR="00951E98" w:rsidRPr="008E3621" w:rsidRDefault="0032236F" w:rsidP="00CC47DF">
            <w:pPr>
              <w:jc w:val="center"/>
              <w:rPr>
                <w:rFonts w:cs="Arial"/>
                <w:szCs w:val="22"/>
              </w:rPr>
            </w:pPr>
            <w:r>
              <w:rPr>
                <w:rFonts w:cs="Arial"/>
                <w:szCs w:val="22"/>
              </w:rPr>
              <w:t>.0208</w:t>
            </w:r>
          </w:p>
        </w:tc>
        <w:tc>
          <w:tcPr>
            <w:tcW w:w="2510" w:type="dxa"/>
            <w:tcBorders>
              <w:top w:val="single" w:sz="2" w:space="0" w:color="548DD4" w:themeColor="text2" w:themeTint="99"/>
              <w:bottom w:val="single" w:sz="2" w:space="0" w:color="548DD4" w:themeColor="text2" w:themeTint="99"/>
            </w:tcBorders>
            <w:shd w:val="clear" w:color="auto" w:fill="FFFFFF" w:themeFill="background1"/>
          </w:tcPr>
          <w:p w14:paraId="77A15E3F" w14:textId="37F79328" w:rsidR="00951E98" w:rsidRPr="008E3621" w:rsidRDefault="003E6499" w:rsidP="00951E98">
            <w:pPr>
              <w:jc w:val="center"/>
              <w:rPr>
                <w:rFonts w:cs="Arial"/>
                <w:szCs w:val="22"/>
              </w:rPr>
            </w:pPr>
            <w:r>
              <w:rPr>
                <w:rFonts w:cs="Arial"/>
                <w:szCs w:val="22"/>
              </w:rPr>
              <w:t>Emerging technologies field study</w:t>
            </w:r>
          </w:p>
        </w:tc>
        <w:tc>
          <w:tcPr>
            <w:tcW w:w="2250" w:type="dxa"/>
            <w:tcBorders>
              <w:top w:val="single" w:sz="2" w:space="0" w:color="548DD4" w:themeColor="text2" w:themeTint="99"/>
              <w:bottom w:val="single" w:sz="2" w:space="0" w:color="548DD4" w:themeColor="text2" w:themeTint="99"/>
            </w:tcBorders>
            <w:shd w:val="clear" w:color="auto" w:fill="FFFFFF" w:themeFill="background1"/>
          </w:tcPr>
          <w:p w14:paraId="04A98C61" w14:textId="7B552292" w:rsidR="00951E98" w:rsidRPr="008E3621" w:rsidRDefault="003E6499" w:rsidP="00951E98">
            <w:pPr>
              <w:jc w:val="center"/>
              <w:rPr>
                <w:rFonts w:cs="Arial"/>
                <w:szCs w:val="22"/>
              </w:rPr>
            </w:pPr>
            <w:r>
              <w:rPr>
                <w:rFonts w:cs="Arial"/>
                <w:szCs w:val="22"/>
              </w:rPr>
              <w:t>Field case study is representative of California market</w:t>
            </w:r>
          </w:p>
        </w:tc>
        <w:tc>
          <w:tcPr>
            <w:tcW w:w="1832" w:type="dxa"/>
            <w:tcBorders>
              <w:top w:val="single" w:sz="2" w:space="0" w:color="548DD4" w:themeColor="text2" w:themeTint="99"/>
              <w:bottom w:val="single" w:sz="2" w:space="0" w:color="548DD4" w:themeColor="text2" w:themeTint="99"/>
            </w:tcBorders>
            <w:shd w:val="clear" w:color="auto" w:fill="FFFFFF" w:themeFill="background1"/>
            <w:vAlign w:val="center"/>
          </w:tcPr>
          <w:p w14:paraId="777B1185" w14:textId="2AF12E29" w:rsidR="00951E98" w:rsidRPr="008E3621" w:rsidRDefault="00107589" w:rsidP="00951E98">
            <w:pPr>
              <w:jc w:val="center"/>
              <w:rPr>
                <w:rFonts w:cs="Arial"/>
                <w:szCs w:val="22"/>
              </w:rPr>
            </w:pPr>
            <w:hyperlink r:id="rId22" w:history="1">
              <w:r w:rsidR="003E6499">
                <w:rPr>
                  <w:rStyle w:val="Hyperlink"/>
                  <w:rFonts w:cs="Arial"/>
                  <w:szCs w:val="22"/>
                </w:rPr>
                <w:t>ET15SDG1061 Report</w:t>
              </w:r>
            </w:hyperlink>
          </w:p>
        </w:tc>
        <w:tc>
          <w:tcPr>
            <w:tcW w:w="2160" w:type="dxa"/>
            <w:tcBorders>
              <w:top w:val="single" w:sz="2" w:space="0" w:color="548DD4" w:themeColor="text2" w:themeTint="99"/>
              <w:bottom w:val="single" w:sz="2" w:space="0" w:color="548DD4" w:themeColor="text2" w:themeTint="99"/>
            </w:tcBorders>
            <w:shd w:val="clear" w:color="auto" w:fill="FFFFFF" w:themeFill="background1"/>
            <w:vAlign w:val="center"/>
          </w:tcPr>
          <w:p w14:paraId="475C0291" w14:textId="77777777" w:rsidR="00951E98" w:rsidRPr="008E3621" w:rsidRDefault="00951E98" w:rsidP="00951E98">
            <w:pPr>
              <w:jc w:val="center"/>
              <w:rPr>
                <w:rFonts w:cs="Arial"/>
                <w:szCs w:val="22"/>
              </w:rPr>
            </w:pPr>
          </w:p>
        </w:tc>
        <w:tc>
          <w:tcPr>
            <w:tcW w:w="1424" w:type="dxa"/>
            <w:tcBorders>
              <w:top w:val="single" w:sz="2" w:space="0" w:color="548DD4" w:themeColor="text2" w:themeTint="99"/>
              <w:bottom w:val="single" w:sz="2" w:space="0" w:color="548DD4" w:themeColor="text2" w:themeTint="99"/>
              <w:right w:val="single" w:sz="2" w:space="0" w:color="548DD4" w:themeColor="text2" w:themeTint="99"/>
            </w:tcBorders>
            <w:shd w:val="clear" w:color="auto" w:fill="FFFFFF" w:themeFill="background1"/>
          </w:tcPr>
          <w:p w14:paraId="2FDB5A34" w14:textId="173EA844" w:rsidR="00951E98" w:rsidRPr="008E3621" w:rsidRDefault="003E6499" w:rsidP="00951E98">
            <w:pPr>
              <w:jc w:val="center"/>
              <w:rPr>
                <w:rFonts w:cs="Arial"/>
                <w:szCs w:val="22"/>
              </w:rPr>
            </w:pPr>
            <w:r>
              <w:rPr>
                <w:rFonts w:cs="Arial"/>
                <w:szCs w:val="22"/>
              </w:rPr>
              <w:t>High</w:t>
            </w:r>
          </w:p>
        </w:tc>
      </w:tr>
      <w:tr w:rsidR="00951E98" w:rsidRPr="008E3621" w14:paraId="4A075CB4" w14:textId="77777777" w:rsidTr="00CC47DF">
        <w:tc>
          <w:tcPr>
            <w:tcW w:w="1513"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2D612D76" w14:textId="66860830" w:rsidR="00951E98" w:rsidRPr="008E3621" w:rsidRDefault="002E7F92" w:rsidP="00C636BA">
            <w:pPr>
              <w:jc w:val="center"/>
              <w:rPr>
                <w:rFonts w:cs="Arial"/>
                <w:szCs w:val="22"/>
              </w:rPr>
            </w:pPr>
            <w:r>
              <w:rPr>
                <w:rFonts w:cs="Arial"/>
                <w:szCs w:val="22"/>
              </w:rPr>
              <w:t>Savings – kW</w:t>
            </w:r>
          </w:p>
        </w:tc>
        <w:tc>
          <w:tcPr>
            <w:tcW w:w="1367"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419C3D0" w14:textId="022B524B" w:rsidR="00951E98" w:rsidRPr="008E3621" w:rsidRDefault="0032236F" w:rsidP="00CC47DF">
            <w:pPr>
              <w:jc w:val="center"/>
              <w:rPr>
                <w:rFonts w:cs="Arial"/>
                <w:szCs w:val="22"/>
              </w:rPr>
            </w:pPr>
            <w:r>
              <w:rPr>
                <w:rFonts w:cs="Arial"/>
                <w:szCs w:val="22"/>
              </w:rPr>
              <w:t>.012</w:t>
            </w:r>
            <w:r w:rsidR="00CC47DF">
              <w:rPr>
                <w:rFonts w:cs="Arial"/>
                <w:szCs w:val="22"/>
              </w:rPr>
              <w:t>3</w:t>
            </w:r>
          </w:p>
        </w:tc>
        <w:tc>
          <w:tcPr>
            <w:tcW w:w="2510" w:type="dxa"/>
            <w:tcBorders>
              <w:top w:val="single" w:sz="2" w:space="0" w:color="548DD4" w:themeColor="text2" w:themeTint="99"/>
              <w:bottom w:val="single" w:sz="24" w:space="0" w:color="548DD4" w:themeColor="text2" w:themeTint="99"/>
            </w:tcBorders>
            <w:shd w:val="clear" w:color="auto" w:fill="DAEEF3" w:themeFill="accent5" w:themeFillTint="33"/>
          </w:tcPr>
          <w:p w14:paraId="6B79C206" w14:textId="2FD53C73" w:rsidR="00951E98" w:rsidRPr="008E3621" w:rsidRDefault="003E6499" w:rsidP="00C636BA">
            <w:pPr>
              <w:jc w:val="center"/>
              <w:rPr>
                <w:rFonts w:cs="Arial"/>
                <w:szCs w:val="22"/>
              </w:rPr>
            </w:pPr>
            <w:r>
              <w:rPr>
                <w:rFonts w:cs="Arial"/>
                <w:szCs w:val="22"/>
              </w:rPr>
              <w:t>Emerging technologies field study</w:t>
            </w:r>
          </w:p>
        </w:tc>
        <w:tc>
          <w:tcPr>
            <w:tcW w:w="2250" w:type="dxa"/>
            <w:tcBorders>
              <w:top w:val="single" w:sz="2" w:space="0" w:color="548DD4" w:themeColor="text2" w:themeTint="99"/>
              <w:bottom w:val="single" w:sz="24" w:space="0" w:color="548DD4" w:themeColor="text2" w:themeTint="99"/>
            </w:tcBorders>
            <w:shd w:val="clear" w:color="auto" w:fill="DAEEF3" w:themeFill="accent5" w:themeFillTint="33"/>
          </w:tcPr>
          <w:p w14:paraId="39155A9D" w14:textId="0C1C3912" w:rsidR="00951E98" w:rsidRPr="008E3621" w:rsidRDefault="003E6499" w:rsidP="00C636BA">
            <w:pPr>
              <w:jc w:val="center"/>
              <w:rPr>
                <w:rFonts w:cs="Arial"/>
                <w:szCs w:val="22"/>
              </w:rPr>
            </w:pPr>
            <w:r>
              <w:rPr>
                <w:rFonts w:cs="Arial"/>
                <w:szCs w:val="22"/>
              </w:rPr>
              <w:t>Field case study is representative of California market</w:t>
            </w:r>
          </w:p>
        </w:tc>
        <w:tc>
          <w:tcPr>
            <w:tcW w:w="1832"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3420B63" w14:textId="01849498" w:rsidR="00951E98" w:rsidRPr="008E3621" w:rsidRDefault="00107589" w:rsidP="00C636BA">
            <w:pPr>
              <w:jc w:val="center"/>
              <w:rPr>
                <w:rFonts w:cs="Arial"/>
                <w:szCs w:val="22"/>
              </w:rPr>
            </w:pPr>
            <w:hyperlink r:id="rId23" w:history="1">
              <w:r w:rsidR="003E6499">
                <w:rPr>
                  <w:rStyle w:val="Hyperlink"/>
                  <w:rFonts w:cs="Arial"/>
                  <w:szCs w:val="22"/>
                </w:rPr>
                <w:t>ET15SDG1061 Report</w:t>
              </w:r>
            </w:hyperlink>
          </w:p>
        </w:tc>
        <w:tc>
          <w:tcPr>
            <w:tcW w:w="216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17BB79FB" w14:textId="77777777" w:rsidR="00951E98" w:rsidRPr="008E3621" w:rsidRDefault="00951E98" w:rsidP="00C636BA">
            <w:pPr>
              <w:jc w:val="center"/>
              <w:rPr>
                <w:rFonts w:cs="Arial"/>
                <w:szCs w:val="22"/>
              </w:rPr>
            </w:pPr>
          </w:p>
        </w:tc>
        <w:tc>
          <w:tcPr>
            <w:tcW w:w="1424" w:type="dxa"/>
            <w:tcBorders>
              <w:top w:val="single" w:sz="2" w:space="0" w:color="548DD4" w:themeColor="text2" w:themeTint="99"/>
              <w:bottom w:val="single" w:sz="24" w:space="0" w:color="548DD4" w:themeColor="text2" w:themeTint="99"/>
            </w:tcBorders>
            <w:shd w:val="clear" w:color="auto" w:fill="DAEEF3" w:themeFill="accent5" w:themeFillTint="33"/>
          </w:tcPr>
          <w:p w14:paraId="0E4361B0" w14:textId="59C9E582" w:rsidR="00951E98" w:rsidRPr="008E3621" w:rsidRDefault="003E6499" w:rsidP="00C636BA">
            <w:pPr>
              <w:jc w:val="center"/>
              <w:rPr>
                <w:rFonts w:cs="Arial"/>
                <w:szCs w:val="22"/>
              </w:rPr>
            </w:pPr>
            <w:r>
              <w:rPr>
                <w:rFonts w:cs="Arial"/>
                <w:szCs w:val="22"/>
              </w:rPr>
              <w:t>High</w:t>
            </w:r>
          </w:p>
        </w:tc>
        <w:bookmarkStart w:id="2" w:name="_GoBack"/>
        <w:bookmarkEnd w:id="2"/>
      </w:tr>
      <w:tr w:rsidR="00951E98" w:rsidRPr="008E3621" w14:paraId="08EAE6A0" w14:textId="77777777" w:rsidTr="00CC47DF">
        <w:tc>
          <w:tcPr>
            <w:tcW w:w="1513" w:type="dxa"/>
            <w:tcBorders>
              <w:top w:val="single" w:sz="24" w:space="0" w:color="548DD4" w:themeColor="text2" w:themeTint="99"/>
            </w:tcBorders>
            <w:shd w:val="clear" w:color="auto" w:fill="FFFFFF" w:themeFill="background1"/>
            <w:vAlign w:val="center"/>
          </w:tcPr>
          <w:p w14:paraId="177C2EF9" w14:textId="77777777" w:rsidR="00951E98" w:rsidRPr="008E3621" w:rsidRDefault="00951E98" w:rsidP="00951E98">
            <w:pPr>
              <w:jc w:val="center"/>
              <w:rPr>
                <w:rFonts w:cs="Arial"/>
                <w:szCs w:val="22"/>
              </w:rPr>
            </w:pPr>
            <w:r w:rsidRPr="008E3621">
              <w:rPr>
                <w:rFonts w:cs="Arial"/>
                <w:szCs w:val="22"/>
              </w:rPr>
              <w:t>Baseline Energy</w:t>
            </w:r>
          </w:p>
          <w:p w14:paraId="1222C82C" w14:textId="77777777" w:rsidR="00951E98" w:rsidRPr="008E3621" w:rsidRDefault="00951E98" w:rsidP="00951E98">
            <w:pPr>
              <w:jc w:val="center"/>
              <w:rPr>
                <w:rFonts w:cs="Arial"/>
                <w:szCs w:val="22"/>
              </w:rPr>
            </w:pPr>
            <w:r w:rsidRPr="008E3621">
              <w:rPr>
                <w:rFonts w:cs="Arial"/>
                <w:szCs w:val="22"/>
              </w:rPr>
              <w:t>Therms/yr</w:t>
            </w:r>
          </w:p>
        </w:tc>
        <w:tc>
          <w:tcPr>
            <w:tcW w:w="1367" w:type="dxa"/>
            <w:tcBorders>
              <w:top w:val="single" w:sz="24" w:space="0" w:color="548DD4" w:themeColor="text2" w:themeTint="99"/>
            </w:tcBorders>
            <w:shd w:val="clear" w:color="auto" w:fill="FFFFFF" w:themeFill="background1"/>
            <w:vAlign w:val="center"/>
          </w:tcPr>
          <w:p w14:paraId="5B65FEEC" w14:textId="31C62F19" w:rsidR="00951E98" w:rsidRPr="008E3621" w:rsidRDefault="003E6499" w:rsidP="00CC47DF">
            <w:pPr>
              <w:jc w:val="center"/>
              <w:rPr>
                <w:rFonts w:cs="Arial"/>
                <w:szCs w:val="22"/>
              </w:rPr>
            </w:pPr>
            <w:r>
              <w:rPr>
                <w:rFonts w:cs="Arial"/>
                <w:szCs w:val="22"/>
              </w:rPr>
              <w:t>0</w:t>
            </w:r>
          </w:p>
        </w:tc>
        <w:tc>
          <w:tcPr>
            <w:tcW w:w="2510" w:type="dxa"/>
            <w:tcBorders>
              <w:top w:val="single" w:sz="24" w:space="0" w:color="548DD4" w:themeColor="text2" w:themeTint="99"/>
            </w:tcBorders>
            <w:shd w:val="clear" w:color="auto" w:fill="FFFFFF" w:themeFill="background1"/>
          </w:tcPr>
          <w:p w14:paraId="72F193C0" w14:textId="77777777" w:rsidR="00951E98" w:rsidRPr="008E3621" w:rsidRDefault="00951E98" w:rsidP="00951E98">
            <w:pPr>
              <w:jc w:val="center"/>
              <w:rPr>
                <w:rFonts w:cs="Arial"/>
                <w:szCs w:val="22"/>
              </w:rPr>
            </w:pPr>
          </w:p>
        </w:tc>
        <w:tc>
          <w:tcPr>
            <w:tcW w:w="2250" w:type="dxa"/>
            <w:tcBorders>
              <w:top w:val="single" w:sz="24" w:space="0" w:color="548DD4" w:themeColor="text2" w:themeTint="99"/>
            </w:tcBorders>
            <w:shd w:val="clear" w:color="auto" w:fill="FFFFFF" w:themeFill="background1"/>
          </w:tcPr>
          <w:p w14:paraId="38BE1BCB" w14:textId="77777777" w:rsidR="00951E98" w:rsidRPr="008E3621" w:rsidRDefault="00951E98" w:rsidP="00951E98">
            <w:pPr>
              <w:jc w:val="center"/>
              <w:rPr>
                <w:rFonts w:cs="Arial"/>
                <w:szCs w:val="22"/>
              </w:rPr>
            </w:pPr>
          </w:p>
        </w:tc>
        <w:tc>
          <w:tcPr>
            <w:tcW w:w="1832" w:type="dxa"/>
            <w:tcBorders>
              <w:top w:val="single" w:sz="24" w:space="0" w:color="548DD4" w:themeColor="text2" w:themeTint="99"/>
            </w:tcBorders>
            <w:shd w:val="clear" w:color="auto" w:fill="FFFFFF" w:themeFill="background1"/>
            <w:vAlign w:val="center"/>
          </w:tcPr>
          <w:p w14:paraId="703D1C13" w14:textId="77777777" w:rsidR="00951E98" w:rsidRPr="008E3621" w:rsidRDefault="00951E98" w:rsidP="00951E98">
            <w:pPr>
              <w:jc w:val="center"/>
              <w:rPr>
                <w:rFonts w:cs="Arial"/>
                <w:szCs w:val="22"/>
              </w:rPr>
            </w:pPr>
          </w:p>
        </w:tc>
        <w:tc>
          <w:tcPr>
            <w:tcW w:w="2160" w:type="dxa"/>
            <w:tcBorders>
              <w:top w:val="single" w:sz="24" w:space="0" w:color="548DD4" w:themeColor="text2" w:themeTint="99"/>
            </w:tcBorders>
            <w:shd w:val="clear" w:color="auto" w:fill="FFFFFF" w:themeFill="background1"/>
            <w:vAlign w:val="center"/>
          </w:tcPr>
          <w:p w14:paraId="736B033B" w14:textId="77777777" w:rsidR="00951E98" w:rsidRPr="008E3621" w:rsidRDefault="00951E98" w:rsidP="00951E98">
            <w:pPr>
              <w:jc w:val="center"/>
              <w:rPr>
                <w:rFonts w:cs="Arial"/>
                <w:szCs w:val="22"/>
              </w:rPr>
            </w:pPr>
          </w:p>
        </w:tc>
        <w:tc>
          <w:tcPr>
            <w:tcW w:w="1424" w:type="dxa"/>
            <w:tcBorders>
              <w:top w:val="single" w:sz="24" w:space="0" w:color="548DD4" w:themeColor="text2" w:themeTint="99"/>
            </w:tcBorders>
            <w:shd w:val="clear" w:color="auto" w:fill="FFFFFF" w:themeFill="background1"/>
          </w:tcPr>
          <w:p w14:paraId="6B67D1DC" w14:textId="0D623C20" w:rsidR="00951E98" w:rsidRPr="008E3621" w:rsidRDefault="003E6499" w:rsidP="00951E98">
            <w:pPr>
              <w:jc w:val="center"/>
              <w:rPr>
                <w:rFonts w:cs="Arial"/>
                <w:szCs w:val="22"/>
              </w:rPr>
            </w:pPr>
            <w:r>
              <w:rPr>
                <w:rFonts w:cs="Arial"/>
                <w:szCs w:val="22"/>
              </w:rPr>
              <w:t>High</w:t>
            </w:r>
          </w:p>
        </w:tc>
      </w:tr>
      <w:tr w:rsidR="00951E98" w:rsidRPr="008E3621" w14:paraId="7F2A5782" w14:textId="77777777" w:rsidTr="00CC47DF">
        <w:tc>
          <w:tcPr>
            <w:tcW w:w="1513" w:type="dxa"/>
            <w:tcBorders>
              <w:bottom w:val="single" w:sz="6" w:space="0" w:color="548DD4" w:themeColor="text2" w:themeTint="99"/>
            </w:tcBorders>
            <w:shd w:val="clear" w:color="auto" w:fill="DBE5F1" w:themeFill="accent1" w:themeFillTint="33"/>
            <w:vAlign w:val="center"/>
          </w:tcPr>
          <w:p w14:paraId="369E4BC9" w14:textId="77777777" w:rsidR="00951E98" w:rsidRPr="008E3621" w:rsidRDefault="00951E98" w:rsidP="00951E98">
            <w:pPr>
              <w:jc w:val="center"/>
              <w:rPr>
                <w:rFonts w:cs="Arial"/>
                <w:szCs w:val="22"/>
              </w:rPr>
            </w:pPr>
            <w:r w:rsidRPr="008E3621">
              <w:rPr>
                <w:rFonts w:cs="Arial"/>
                <w:szCs w:val="22"/>
              </w:rPr>
              <w:t>Measure Energy</w:t>
            </w:r>
          </w:p>
          <w:p w14:paraId="71CE38AE" w14:textId="77777777" w:rsidR="00951E98" w:rsidRPr="008E3621" w:rsidRDefault="00951E98" w:rsidP="00951E98">
            <w:pPr>
              <w:jc w:val="center"/>
              <w:rPr>
                <w:rFonts w:cs="Arial"/>
                <w:szCs w:val="22"/>
              </w:rPr>
            </w:pPr>
            <w:r w:rsidRPr="008E3621">
              <w:rPr>
                <w:rFonts w:cs="Arial"/>
                <w:szCs w:val="22"/>
              </w:rPr>
              <w:t>Therms/Yr</w:t>
            </w:r>
          </w:p>
        </w:tc>
        <w:tc>
          <w:tcPr>
            <w:tcW w:w="1367" w:type="dxa"/>
            <w:tcBorders>
              <w:bottom w:val="single" w:sz="6" w:space="0" w:color="548DD4" w:themeColor="text2" w:themeTint="99"/>
            </w:tcBorders>
            <w:shd w:val="clear" w:color="auto" w:fill="DBE5F1" w:themeFill="accent1" w:themeFillTint="33"/>
            <w:vAlign w:val="center"/>
          </w:tcPr>
          <w:p w14:paraId="0F61632D" w14:textId="1B099778" w:rsidR="00951E98" w:rsidRPr="008E3621" w:rsidRDefault="003E6499" w:rsidP="00CC47DF">
            <w:pPr>
              <w:jc w:val="center"/>
              <w:rPr>
                <w:rFonts w:cs="Arial"/>
                <w:szCs w:val="22"/>
              </w:rPr>
            </w:pPr>
            <w:r>
              <w:rPr>
                <w:rFonts w:cs="Arial"/>
                <w:szCs w:val="22"/>
              </w:rPr>
              <w:t>0</w:t>
            </w:r>
          </w:p>
        </w:tc>
        <w:tc>
          <w:tcPr>
            <w:tcW w:w="2510" w:type="dxa"/>
            <w:tcBorders>
              <w:bottom w:val="single" w:sz="6" w:space="0" w:color="548DD4" w:themeColor="text2" w:themeTint="99"/>
            </w:tcBorders>
            <w:shd w:val="clear" w:color="auto" w:fill="DBE5F1" w:themeFill="accent1" w:themeFillTint="33"/>
          </w:tcPr>
          <w:p w14:paraId="2626617B" w14:textId="77777777" w:rsidR="00951E98" w:rsidRPr="008E3621" w:rsidRDefault="00951E98" w:rsidP="00951E98">
            <w:pPr>
              <w:jc w:val="center"/>
              <w:rPr>
                <w:rFonts w:cs="Arial"/>
                <w:szCs w:val="22"/>
              </w:rPr>
            </w:pPr>
          </w:p>
        </w:tc>
        <w:tc>
          <w:tcPr>
            <w:tcW w:w="2250" w:type="dxa"/>
            <w:tcBorders>
              <w:bottom w:val="single" w:sz="6" w:space="0" w:color="548DD4" w:themeColor="text2" w:themeTint="99"/>
            </w:tcBorders>
            <w:shd w:val="clear" w:color="auto" w:fill="DBE5F1" w:themeFill="accent1" w:themeFillTint="33"/>
          </w:tcPr>
          <w:p w14:paraId="29768500" w14:textId="77777777" w:rsidR="00951E98" w:rsidRPr="008E3621" w:rsidRDefault="00951E98" w:rsidP="00951E98">
            <w:pPr>
              <w:jc w:val="center"/>
              <w:rPr>
                <w:rFonts w:cs="Arial"/>
                <w:szCs w:val="22"/>
              </w:rPr>
            </w:pPr>
          </w:p>
        </w:tc>
        <w:tc>
          <w:tcPr>
            <w:tcW w:w="1832" w:type="dxa"/>
            <w:tcBorders>
              <w:bottom w:val="single" w:sz="6" w:space="0" w:color="548DD4" w:themeColor="text2" w:themeTint="99"/>
            </w:tcBorders>
            <w:shd w:val="clear" w:color="auto" w:fill="DBE5F1" w:themeFill="accent1" w:themeFillTint="33"/>
            <w:vAlign w:val="center"/>
          </w:tcPr>
          <w:p w14:paraId="42D91842" w14:textId="77777777" w:rsidR="00951E98" w:rsidRPr="008E3621" w:rsidRDefault="00951E98" w:rsidP="00951E98">
            <w:pPr>
              <w:jc w:val="center"/>
              <w:rPr>
                <w:rFonts w:cs="Arial"/>
                <w:szCs w:val="22"/>
              </w:rPr>
            </w:pPr>
          </w:p>
        </w:tc>
        <w:tc>
          <w:tcPr>
            <w:tcW w:w="2160" w:type="dxa"/>
            <w:tcBorders>
              <w:bottom w:val="single" w:sz="6" w:space="0" w:color="548DD4" w:themeColor="text2" w:themeTint="99"/>
            </w:tcBorders>
            <w:shd w:val="clear" w:color="auto" w:fill="DBE5F1" w:themeFill="accent1" w:themeFillTint="33"/>
            <w:vAlign w:val="center"/>
          </w:tcPr>
          <w:p w14:paraId="1D846BDA" w14:textId="77777777" w:rsidR="00951E98" w:rsidRPr="008E3621" w:rsidRDefault="00951E98" w:rsidP="00951E98">
            <w:pPr>
              <w:jc w:val="center"/>
              <w:rPr>
                <w:rFonts w:cs="Arial"/>
                <w:szCs w:val="22"/>
              </w:rPr>
            </w:pPr>
          </w:p>
        </w:tc>
        <w:tc>
          <w:tcPr>
            <w:tcW w:w="1424" w:type="dxa"/>
            <w:tcBorders>
              <w:bottom w:val="single" w:sz="6" w:space="0" w:color="548DD4" w:themeColor="text2" w:themeTint="99"/>
            </w:tcBorders>
            <w:shd w:val="clear" w:color="auto" w:fill="DBE5F1" w:themeFill="accent1" w:themeFillTint="33"/>
          </w:tcPr>
          <w:p w14:paraId="7C2A55CB" w14:textId="0CA94FAD" w:rsidR="00951E98" w:rsidRPr="008E3621" w:rsidRDefault="003E6499" w:rsidP="00951E98">
            <w:pPr>
              <w:jc w:val="center"/>
              <w:rPr>
                <w:rFonts w:cs="Arial"/>
                <w:szCs w:val="22"/>
              </w:rPr>
            </w:pPr>
            <w:r>
              <w:rPr>
                <w:rFonts w:cs="Arial"/>
                <w:szCs w:val="22"/>
              </w:rPr>
              <w:t>High</w:t>
            </w:r>
          </w:p>
        </w:tc>
      </w:tr>
      <w:tr w:rsidR="00951E98" w:rsidRPr="008E3621" w14:paraId="1DDF3CFE" w14:textId="77777777" w:rsidTr="00CC47DF">
        <w:tc>
          <w:tcPr>
            <w:tcW w:w="1513" w:type="dxa"/>
            <w:tcBorders>
              <w:top w:val="single" w:sz="6" w:space="0" w:color="548DD4" w:themeColor="text2" w:themeTint="99"/>
              <w:bottom w:val="single" w:sz="24" w:space="0" w:color="548DD4" w:themeColor="text2" w:themeTint="99"/>
            </w:tcBorders>
            <w:shd w:val="clear" w:color="auto" w:fill="FFFFFF" w:themeFill="background1"/>
            <w:vAlign w:val="center"/>
          </w:tcPr>
          <w:p w14:paraId="166C25B8" w14:textId="77777777" w:rsidR="00951E98" w:rsidRPr="008E3621" w:rsidRDefault="00951E98" w:rsidP="00C636BA">
            <w:pPr>
              <w:jc w:val="center"/>
              <w:rPr>
                <w:rFonts w:cs="Arial"/>
                <w:szCs w:val="22"/>
              </w:rPr>
            </w:pPr>
            <w:r w:rsidRPr="008E3621">
              <w:rPr>
                <w:rFonts w:cs="Arial"/>
                <w:szCs w:val="22"/>
              </w:rPr>
              <w:t>Savings – therms/yr</w:t>
            </w:r>
          </w:p>
        </w:tc>
        <w:tc>
          <w:tcPr>
            <w:tcW w:w="1367" w:type="dxa"/>
            <w:tcBorders>
              <w:top w:val="single" w:sz="6" w:space="0" w:color="548DD4" w:themeColor="text2" w:themeTint="99"/>
              <w:bottom w:val="single" w:sz="24" w:space="0" w:color="548DD4" w:themeColor="text2" w:themeTint="99"/>
            </w:tcBorders>
            <w:shd w:val="clear" w:color="auto" w:fill="FFFFFF" w:themeFill="background1"/>
            <w:vAlign w:val="center"/>
          </w:tcPr>
          <w:p w14:paraId="4DEFB153" w14:textId="5A0491B6" w:rsidR="00951E98" w:rsidRPr="008E3621" w:rsidRDefault="003E6499" w:rsidP="00CC47DF">
            <w:pPr>
              <w:jc w:val="center"/>
              <w:rPr>
                <w:rFonts w:cs="Arial"/>
                <w:szCs w:val="22"/>
              </w:rPr>
            </w:pPr>
            <w:r>
              <w:rPr>
                <w:rFonts w:cs="Arial"/>
                <w:szCs w:val="22"/>
              </w:rPr>
              <w:t>0</w:t>
            </w:r>
          </w:p>
        </w:tc>
        <w:tc>
          <w:tcPr>
            <w:tcW w:w="2510" w:type="dxa"/>
            <w:tcBorders>
              <w:top w:val="single" w:sz="6" w:space="0" w:color="548DD4" w:themeColor="text2" w:themeTint="99"/>
              <w:bottom w:val="single" w:sz="24" w:space="0" w:color="548DD4" w:themeColor="text2" w:themeTint="99"/>
            </w:tcBorders>
            <w:shd w:val="clear" w:color="auto" w:fill="FFFFFF" w:themeFill="background1"/>
          </w:tcPr>
          <w:p w14:paraId="7F72A0CE" w14:textId="77777777" w:rsidR="00951E98" w:rsidRPr="008E3621" w:rsidRDefault="00951E98" w:rsidP="00C636BA">
            <w:pPr>
              <w:jc w:val="center"/>
              <w:rPr>
                <w:rFonts w:cs="Arial"/>
                <w:szCs w:val="22"/>
              </w:rPr>
            </w:pPr>
          </w:p>
        </w:tc>
        <w:tc>
          <w:tcPr>
            <w:tcW w:w="2250" w:type="dxa"/>
            <w:tcBorders>
              <w:top w:val="single" w:sz="6" w:space="0" w:color="548DD4" w:themeColor="text2" w:themeTint="99"/>
              <w:bottom w:val="single" w:sz="24" w:space="0" w:color="548DD4" w:themeColor="text2" w:themeTint="99"/>
            </w:tcBorders>
            <w:shd w:val="clear" w:color="auto" w:fill="FFFFFF" w:themeFill="background1"/>
          </w:tcPr>
          <w:p w14:paraId="6B8FEF00" w14:textId="77777777" w:rsidR="00951E98" w:rsidRPr="008E3621" w:rsidRDefault="00951E98" w:rsidP="00C636BA">
            <w:pPr>
              <w:jc w:val="center"/>
              <w:rPr>
                <w:rFonts w:cs="Arial"/>
                <w:szCs w:val="22"/>
              </w:rPr>
            </w:pPr>
          </w:p>
        </w:tc>
        <w:tc>
          <w:tcPr>
            <w:tcW w:w="1832" w:type="dxa"/>
            <w:tcBorders>
              <w:top w:val="single" w:sz="6" w:space="0" w:color="548DD4" w:themeColor="text2" w:themeTint="99"/>
              <w:bottom w:val="single" w:sz="24" w:space="0" w:color="548DD4" w:themeColor="text2" w:themeTint="99"/>
            </w:tcBorders>
            <w:shd w:val="clear" w:color="auto" w:fill="FFFFFF" w:themeFill="background1"/>
            <w:vAlign w:val="center"/>
          </w:tcPr>
          <w:p w14:paraId="0BD0D00F" w14:textId="77777777" w:rsidR="00951E98" w:rsidRPr="008E3621" w:rsidRDefault="00951E98" w:rsidP="00C636BA">
            <w:pPr>
              <w:jc w:val="center"/>
              <w:rPr>
                <w:rFonts w:cs="Arial"/>
                <w:szCs w:val="22"/>
              </w:rPr>
            </w:pPr>
          </w:p>
        </w:tc>
        <w:tc>
          <w:tcPr>
            <w:tcW w:w="2160" w:type="dxa"/>
            <w:tcBorders>
              <w:top w:val="single" w:sz="6" w:space="0" w:color="548DD4" w:themeColor="text2" w:themeTint="99"/>
              <w:bottom w:val="single" w:sz="24" w:space="0" w:color="548DD4" w:themeColor="text2" w:themeTint="99"/>
            </w:tcBorders>
            <w:shd w:val="clear" w:color="auto" w:fill="FFFFFF" w:themeFill="background1"/>
            <w:vAlign w:val="center"/>
          </w:tcPr>
          <w:p w14:paraId="64CA8911" w14:textId="77777777" w:rsidR="00951E98" w:rsidRPr="008E3621" w:rsidRDefault="00951E98" w:rsidP="00C636BA">
            <w:pPr>
              <w:jc w:val="center"/>
              <w:rPr>
                <w:rFonts w:cs="Arial"/>
                <w:szCs w:val="22"/>
              </w:rPr>
            </w:pPr>
          </w:p>
        </w:tc>
        <w:tc>
          <w:tcPr>
            <w:tcW w:w="1424" w:type="dxa"/>
            <w:tcBorders>
              <w:top w:val="single" w:sz="6" w:space="0" w:color="548DD4" w:themeColor="text2" w:themeTint="99"/>
              <w:bottom w:val="single" w:sz="24" w:space="0" w:color="548DD4" w:themeColor="text2" w:themeTint="99"/>
            </w:tcBorders>
            <w:shd w:val="clear" w:color="auto" w:fill="FFFFFF" w:themeFill="background1"/>
          </w:tcPr>
          <w:p w14:paraId="48F9452A" w14:textId="56624E3A" w:rsidR="00951E98" w:rsidRPr="008E3621" w:rsidRDefault="003E6499" w:rsidP="00C636BA">
            <w:pPr>
              <w:jc w:val="center"/>
              <w:rPr>
                <w:rFonts w:cs="Arial"/>
                <w:szCs w:val="22"/>
              </w:rPr>
            </w:pPr>
            <w:r>
              <w:rPr>
                <w:rFonts w:cs="Arial"/>
                <w:szCs w:val="22"/>
              </w:rPr>
              <w:t>High</w:t>
            </w:r>
          </w:p>
        </w:tc>
      </w:tr>
      <w:tr w:rsidR="00951E98" w:rsidRPr="008E3621" w14:paraId="2424778D" w14:textId="77777777" w:rsidTr="00CC47DF">
        <w:tc>
          <w:tcPr>
            <w:tcW w:w="1513"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833A2DC" w14:textId="4B09C269" w:rsidR="00657058" w:rsidRPr="008E3621" w:rsidRDefault="003E6499" w:rsidP="00C636BA">
            <w:pPr>
              <w:jc w:val="center"/>
              <w:rPr>
                <w:rFonts w:cs="Arial"/>
                <w:szCs w:val="22"/>
              </w:rPr>
            </w:pPr>
            <w:r>
              <w:rPr>
                <w:rFonts w:cs="Arial"/>
                <w:szCs w:val="22"/>
              </w:rPr>
              <w:t>EUL</w:t>
            </w:r>
          </w:p>
        </w:tc>
        <w:tc>
          <w:tcPr>
            <w:tcW w:w="1367"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0FFB8972" w14:textId="0499D8B8" w:rsidR="00657058" w:rsidRPr="008E3621" w:rsidRDefault="00CB5C02" w:rsidP="00CC47DF">
            <w:pPr>
              <w:jc w:val="center"/>
              <w:rPr>
                <w:rFonts w:cs="Arial"/>
                <w:szCs w:val="22"/>
              </w:rPr>
            </w:pPr>
            <w:r>
              <w:rPr>
                <w:rFonts w:cs="Arial"/>
                <w:szCs w:val="22"/>
              </w:rPr>
              <w:t>15</w:t>
            </w:r>
            <w:r w:rsidR="003E6499">
              <w:rPr>
                <w:rFonts w:cs="Arial"/>
                <w:szCs w:val="22"/>
              </w:rPr>
              <w:t xml:space="preserve"> Years</w:t>
            </w:r>
          </w:p>
        </w:tc>
        <w:tc>
          <w:tcPr>
            <w:tcW w:w="2510" w:type="dxa"/>
            <w:tcBorders>
              <w:top w:val="single" w:sz="24" w:space="0" w:color="548DD4" w:themeColor="text2" w:themeTint="99"/>
              <w:bottom w:val="single" w:sz="6" w:space="0" w:color="548DD4" w:themeColor="text2" w:themeTint="99"/>
            </w:tcBorders>
            <w:shd w:val="clear" w:color="auto" w:fill="DAEEF3" w:themeFill="accent5" w:themeFillTint="33"/>
          </w:tcPr>
          <w:p w14:paraId="3FD4A4BE" w14:textId="3A4DABE0" w:rsidR="00657058" w:rsidRPr="008E3621" w:rsidRDefault="00CB5C02" w:rsidP="00C636BA">
            <w:pPr>
              <w:jc w:val="center"/>
              <w:rPr>
                <w:rFonts w:cs="Arial"/>
                <w:szCs w:val="22"/>
              </w:rPr>
            </w:pPr>
            <w:r>
              <w:rPr>
                <w:rFonts w:cs="Arial"/>
                <w:szCs w:val="22"/>
              </w:rPr>
              <w:t>Existing workpapers and studies</w:t>
            </w:r>
            <w:r w:rsidR="00B139B9">
              <w:rPr>
                <w:rFonts w:cs="Arial"/>
                <w:szCs w:val="22"/>
              </w:rPr>
              <w:t xml:space="preserve"> </w:t>
            </w:r>
          </w:p>
        </w:tc>
        <w:tc>
          <w:tcPr>
            <w:tcW w:w="2250" w:type="dxa"/>
            <w:tcBorders>
              <w:top w:val="single" w:sz="24" w:space="0" w:color="548DD4" w:themeColor="text2" w:themeTint="99"/>
              <w:bottom w:val="single" w:sz="6" w:space="0" w:color="548DD4" w:themeColor="text2" w:themeTint="99"/>
            </w:tcBorders>
            <w:shd w:val="clear" w:color="auto" w:fill="DAEEF3" w:themeFill="accent5" w:themeFillTint="33"/>
          </w:tcPr>
          <w:p w14:paraId="5BC0EE0E" w14:textId="77777777" w:rsidR="00657058" w:rsidRPr="008E3621" w:rsidRDefault="00657058" w:rsidP="00C636BA">
            <w:pPr>
              <w:jc w:val="center"/>
              <w:rPr>
                <w:rFonts w:cs="Arial"/>
                <w:szCs w:val="22"/>
              </w:rPr>
            </w:pPr>
          </w:p>
        </w:tc>
        <w:tc>
          <w:tcPr>
            <w:tcW w:w="1832"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379718B" w14:textId="660FF93C" w:rsidR="00657058" w:rsidRPr="008E3621" w:rsidRDefault="00CB5C02" w:rsidP="00C636BA">
            <w:pPr>
              <w:jc w:val="center"/>
              <w:rPr>
                <w:rFonts w:cs="Arial"/>
                <w:szCs w:val="22"/>
              </w:rPr>
            </w:pPr>
            <w:r>
              <w:rPr>
                <w:rFonts w:cs="Arial"/>
                <w:szCs w:val="22"/>
              </w:rPr>
              <w:t>Fisher Nickel, PG&amp;E, SCE</w:t>
            </w:r>
          </w:p>
        </w:tc>
        <w:tc>
          <w:tcPr>
            <w:tcW w:w="216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505AEE6" w14:textId="77777777" w:rsidR="00657058" w:rsidRPr="008E3621" w:rsidRDefault="00657058" w:rsidP="00C636BA">
            <w:pPr>
              <w:jc w:val="center"/>
              <w:rPr>
                <w:rFonts w:cs="Arial"/>
                <w:szCs w:val="22"/>
              </w:rPr>
            </w:pPr>
          </w:p>
        </w:tc>
        <w:tc>
          <w:tcPr>
            <w:tcW w:w="1424" w:type="dxa"/>
            <w:tcBorders>
              <w:top w:val="single" w:sz="24" w:space="0" w:color="548DD4" w:themeColor="text2" w:themeTint="99"/>
              <w:bottom w:val="single" w:sz="6" w:space="0" w:color="548DD4" w:themeColor="text2" w:themeTint="99"/>
            </w:tcBorders>
            <w:shd w:val="clear" w:color="auto" w:fill="DAEEF3" w:themeFill="accent5" w:themeFillTint="33"/>
          </w:tcPr>
          <w:p w14:paraId="36137962" w14:textId="5B136DBC" w:rsidR="00657058" w:rsidRPr="008E3621" w:rsidRDefault="003E6499" w:rsidP="00C636BA">
            <w:pPr>
              <w:jc w:val="center"/>
              <w:rPr>
                <w:rFonts w:cs="Arial"/>
                <w:szCs w:val="22"/>
              </w:rPr>
            </w:pPr>
            <w:r>
              <w:rPr>
                <w:rFonts w:cs="Arial"/>
                <w:szCs w:val="22"/>
              </w:rPr>
              <w:t>Medium</w:t>
            </w:r>
          </w:p>
        </w:tc>
      </w:tr>
      <w:tr w:rsidR="00951E98" w:rsidRPr="008E3621" w14:paraId="56940C17" w14:textId="77777777" w:rsidTr="00CC47DF">
        <w:tc>
          <w:tcPr>
            <w:tcW w:w="1513" w:type="dxa"/>
            <w:tcBorders>
              <w:top w:val="single" w:sz="6" w:space="0" w:color="548DD4" w:themeColor="text2" w:themeTint="99"/>
              <w:bottom w:val="single" w:sz="6" w:space="0" w:color="548DD4" w:themeColor="text2" w:themeTint="99"/>
            </w:tcBorders>
            <w:shd w:val="clear" w:color="auto" w:fill="FFFFFF" w:themeFill="background1"/>
            <w:vAlign w:val="center"/>
          </w:tcPr>
          <w:p w14:paraId="260B129F" w14:textId="63EFA105" w:rsidR="00657058" w:rsidRPr="008E3621" w:rsidRDefault="003E6499" w:rsidP="00C636BA">
            <w:pPr>
              <w:jc w:val="center"/>
              <w:rPr>
                <w:rFonts w:cs="Arial"/>
                <w:szCs w:val="22"/>
              </w:rPr>
            </w:pPr>
            <w:r>
              <w:rPr>
                <w:rFonts w:cs="Arial"/>
                <w:szCs w:val="22"/>
              </w:rPr>
              <w:t>MC</w:t>
            </w:r>
          </w:p>
        </w:tc>
        <w:tc>
          <w:tcPr>
            <w:tcW w:w="1367" w:type="dxa"/>
            <w:tcBorders>
              <w:top w:val="single" w:sz="6" w:space="0" w:color="548DD4" w:themeColor="text2" w:themeTint="99"/>
              <w:bottom w:val="single" w:sz="6" w:space="0" w:color="548DD4" w:themeColor="text2" w:themeTint="99"/>
            </w:tcBorders>
            <w:shd w:val="clear" w:color="auto" w:fill="FFFFFF" w:themeFill="background1"/>
            <w:vAlign w:val="center"/>
          </w:tcPr>
          <w:p w14:paraId="11D632A9" w14:textId="3CF429BE" w:rsidR="00657058" w:rsidRPr="008E3621" w:rsidRDefault="003E6499" w:rsidP="00CC47DF">
            <w:pPr>
              <w:jc w:val="center"/>
              <w:rPr>
                <w:rFonts w:cs="Arial"/>
                <w:szCs w:val="22"/>
              </w:rPr>
            </w:pPr>
            <w:r>
              <w:rPr>
                <w:rFonts w:cs="Arial"/>
                <w:szCs w:val="22"/>
              </w:rPr>
              <w:t>$</w:t>
            </w:r>
            <w:r w:rsidR="00435D39">
              <w:rPr>
                <w:rFonts w:cs="Arial"/>
                <w:szCs w:val="22"/>
              </w:rPr>
              <w:t>95</w:t>
            </w:r>
            <w:r w:rsidR="006E2760">
              <w:rPr>
                <w:rFonts w:cs="Arial"/>
                <w:szCs w:val="22"/>
              </w:rPr>
              <w:t>/unit</w:t>
            </w:r>
          </w:p>
        </w:tc>
        <w:tc>
          <w:tcPr>
            <w:tcW w:w="2510" w:type="dxa"/>
            <w:tcBorders>
              <w:top w:val="single" w:sz="6" w:space="0" w:color="548DD4" w:themeColor="text2" w:themeTint="99"/>
              <w:bottom w:val="single" w:sz="6" w:space="0" w:color="548DD4" w:themeColor="text2" w:themeTint="99"/>
            </w:tcBorders>
            <w:shd w:val="clear" w:color="auto" w:fill="FFFFFF" w:themeFill="background1"/>
          </w:tcPr>
          <w:p w14:paraId="61622927" w14:textId="7B013958" w:rsidR="00657058" w:rsidRPr="008E3621" w:rsidRDefault="003E6499" w:rsidP="00C636BA">
            <w:pPr>
              <w:jc w:val="center"/>
              <w:rPr>
                <w:rFonts w:cs="Arial"/>
                <w:szCs w:val="22"/>
              </w:rPr>
            </w:pPr>
            <w:r>
              <w:rPr>
                <w:rFonts w:cs="Arial"/>
                <w:szCs w:val="22"/>
              </w:rPr>
              <w:t>Manufacturer quotes and contractor info</w:t>
            </w:r>
          </w:p>
        </w:tc>
        <w:tc>
          <w:tcPr>
            <w:tcW w:w="2250" w:type="dxa"/>
            <w:tcBorders>
              <w:top w:val="single" w:sz="6" w:space="0" w:color="548DD4" w:themeColor="text2" w:themeTint="99"/>
              <w:bottom w:val="single" w:sz="6" w:space="0" w:color="548DD4" w:themeColor="text2" w:themeTint="99"/>
            </w:tcBorders>
            <w:shd w:val="clear" w:color="auto" w:fill="FFFFFF" w:themeFill="background1"/>
          </w:tcPr>
          <w:p w14:paraId="0DD19A02" w14:textId="77777777" w:rsidR="00657058" w:rsidRPr="008E3621" w:rsidRDefault="00657058" w:rsidP="00C636BA">
            <w:pPr>
              <w:jc w:val="center"/>
              <w:rPr>
                <w:rFonts w:cs="Arial"/>
                <w:szCs w:val="22"/>
              </w:rPr>
            </w:pPr>
          </w:p>
        </w:tc>
        <w:tc>
          <w:tcPr>
            <w:tcW w:w="1832" w:type="dxa"/>
            <w:tcBorders>
              <w:top w:val="single" w:sz="6" w:space="0" w:color="548DD4" w:themeColor="text2" w:themeTint="99"/>
              <w:bottom w:val="single" w:sz="6" w:space="0" w:color="548DD4" w:themeColor="text2" w:themeTint="99"/>
            </w:tcBorders>
            <w:shd w:val="clear" w:color="auto" w:fill="FFFFFF" w:themeFill="background1"/>
            <w:vAlign w:val="center"/>
          </w:tcPr>
          <w:p w14:paraId="3D0DF43A" w14:textId="77777777" w:rsidR="00657058" w:rsidRPr="008E3621" w:rsidRDefault="00657058" w:rsidP="00C636BA">
            <w:pPr>
              <w:jc w:val="center"/>
              <w:rPr>
                <w:rFonts w:cs="Arial"/>
                <w:szCs w:val="22"/>
              </w:rPr>
            </w:pPr>
          </w:p>
        </w:tc>
        <w:tc>
          <w:tcPr>
            <w:tcW w:w="2160" w:type="dxa"/>
            <w:tcBorders>
              <w:top w:val="single" w:sz="6" w:space="0" w:color="548DD4" w:themeColor="text2" w:themeTint="99"/>
              <w:bottom w:val="single" w:sz="6" w:space="0" w:color="548DD4" w:themeColor="text2" w:themeTint="99"/>
            </w:tcBorders>
            <w:shd w:val="clear" w:color="auto" w:fill="FFFFFF" w:themeFill="background1"/>
            <w:vAlign w:val="center"/>
          </w:tcPr>
          <w:p w14:paraId="5B5F2312" w14:textId="77777777" w:rsidR="00657058" w:rsidRPr="008E3621" w:rsidRDefault="00657058" w:rsidP="00C636BA">
            <w:pPr>
              <w:jc w:val="center"/>
              <w:rPr>
                <w:rFonts w:cs="Arial"/>
                <w:szCs w:val="22"/>
              </w:rPr>
            </w:pPr>
          </w:p>
        </w:tc>
        <w:tc>
          <w:tcPr>
            <w:tcW w:w="1424" w:type="dxa"/>
            <w:tcBorders>
              <w:top w:val="single" w:sz="6" w:space="0" w:color="548DD4" w:themeColor="text2" w:themeTint="99"/>
              <w:bottom w:val="single" w:sz="6" w:space="0" w:color="548DD4" w:themeColor="text2" w:themeTint="99"/>
            </w:tcBorders>
            <w:shd w:val="clear" w:color="auto" w:fill="FFFFFF" w:themeFill="background1"/>
          </w:tcPr>
          <w:p w14:paraId="6BD146BF" w14:textId="7AB70A4F" w:rsidR="00657058" w:rsidRPr="008E3621" w:rsidRDefault="003E6499" w:rsidP="00C636BA">
            <w:pPr>
              <w:jc w:val="center"/>
              <w:rPr>
                <w:rFonts w:cs="Arial"/>
                <w:szCs w:val="22"/>
              </w:rPr>
            </w:pPr>
            <w:r>
              <w:rPr>
                <w:rFonts w:cs="Arial"/>
                <w:szCs w:val="22"/>
              </w:rPr>
              <w:t>Medium</w:t>
            </w:r>
          </w:p>
        </w:tc>
      </w:tr>
      <w:tr w:rsidR="00951E98" w:rsidRPr="008E3621" w14:paraId="32EB716F" w14:textId="77777777" w:rsidTr="00CC47DF">
        <w:tc>
          <w:tcPr>
            <w:tcW w:w="1513"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08A0AE31" w14:textId="77777777" w:rsidR="00657058" w:rsidRPr="008E3621" w:rsidRDefault="00657058" w:rsidP="00C636BA">
            <w:pPr>
              <w:jc w:val="center"/>
              <w:rPr>
                <w:rFonts w:cs="Arial"/>
                <w:szCs w:val="22"/>
              </w:rPr>
            </w:pPr>
            <w:r w:rsidRPr="008E3621">
              <w:rPr>
                <w:rFonts w:cs="Arial"/>
                <w:szCs w:val="22"/>
              </w:rPr>
              <w:t>NTG</w:t>
            </w:r>
          </w:p>
        </w:tc>
        <w:tc>
          <w:tcPr>
            <w:tcW w:w="1367"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17474D7E" w14:textId="766AC0B5" w:rsidR="00657058" w:rsidRPr="008E3621" w:rsidRDefault="00EB7BE6" w:rsidP="00CC47DF">
            <w:pPr>
              <w:jc w:val="center"/>
              <w:rPr>
                <w:rFonts w:cs="Arial"/>
                <w:szCs w:val="22"/>
              </w:rPr>
            </w:pPr>
            <w:r>
              <w:rPr>
                <w:rFonts w:cs="Arial"/>
                <w:szCs w:val="22"/>
              </w:rPr>
              <w:t>0.85</w:t>
            </w:r>
          </w:p>
        </w:tc>
        <w:tc>
          <w:tcPr>
            <w:tcW w:w="2510" w:type="dxa"/>
            <w:tcBorders>
              <w:top w:val="single" w:sz="6" w:space="0" w:color="548DD4" w:themeColor="text2" w:themeTint="99"/>
              <w:bottom w:val="single" w:sz="24" w:space="0" w:color="548DD4" w:themeColor="text2" w:themeTint="99"/>
            </w:tcBorders>
            <w:shd w:val="clear" w:color="auto" w:fill="DAEEF3" w:themeFill="accent5" w:themeFillTint="33"/>
          </w:tcPr>
          <w:p w14:paraId="25749D63" w14:textId="77777777" w:rsidR="00657058" w:rsidRPr="008E3621" w:rsidRDefault="00657058" w:rsidP="00C636BA">
            <w:pPr>
              <w:jc w:val="center"/>
              <w:rPr>
                <w:rFonts w:cs="Arial"/>
                <w:szCs w:val="22"/>
              </w:rPr>
            </w:pPr>
          </w:p>
        </w:tc>
        <w:tc>
          <w:tcPr>
            <w:tcW w:w="2250" w:type="dxa"/>
            <w:tcBorders>
              <w:top w:val="single" w:sz="6" w:space="0" w:color="548DD4" w:themeColor="text2" w:themeTint="99"/>
              <w:bottom w:val="single" w:sz="24" w:space="0" w:color="548DD4" w:themeColor="text2" w:themeTint="99"/>
            </w:tcBorders>
            <w:shd w:val="clear" w:color="auto" w:fill="DAEEF3" w:themeFill="accent5" w:themeFillTint="33"/>
          </w:tcPr>
          <w:p w14:paraId="05C6A4CD" w14:textId="77777777" w:rsidR="00657058" w:rsidRPr="008E3621" w:rsidRDefault="00657058" w:rsidP="00C636BA">
            <w:pPr>
              <w:jc w:val="center"/>
              <w:rPr>
                <w:rFonts w:cs="Arial"/>
                <w:szCs w:val="22"/>
              </w:rPr>
            </w:pPr>
          </w:p>
        </w:tc>
        <w:tc>
          <w:tcPr>
            <w:tcW w:w="1832"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30AD0B0A" w14:textId="77777777" w:rsidR="00657058" w:rsidRPr="008E3621" w:rsidRDefault="00657058" w:rsidP="00C636BA">
            <w:pPr>
              <w:jc w:val="center"/>
              <w:rPr>
                <w:rFonts w:cs="Arial"/>
                <w:szCs w:val="22"/>
              </w:rPr>
            </w:pPr>
          </w:p>
        </w:tc>
        <w:tc>
          <w:tcPr>
            <w:tcW w:w="216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798D4BCE" w14:textId="77777777" w:rsidR="00657058" w:rsidRPr="008E3621" w:rsidRDefault="00657058" w:rsidP="00C636BA">
            <w:pPr>
              <w:jc w:val="center"/>
              <w:rPr>
                <w:rFonts w:cs="Arial"/>
                <w:szCs w:val="22"/>
              </w:rPr>
            </w:pPr>
          </w:p>
        </w:tc>
        <w:tc>
          <w:tcPr>
            <w:tcW w:w="1424" w:type="dxa"/>
            <w:tcBorders>
              <w:top w:val="single" w:sz="6" w:space="0" w:color="548DD4" w:themeColor="text2" w:themeTint="99"/>
              <w:bottom w:val="single" w:sz="24" w:space="0" w:color="548DD4" w:themeColor="text2" w:themeTint="99"/>
            </w:tcBorders>
            <w:shd w:val="clear" w:color="auto" w:fill="DAEEF3" w:themeFill="accent5" w:themeFillTint="33"/>
          </w:tcPr>
          <w:p w14:paraId="3CA2217C" w14:textId="3B2085C1" w:rsidR="00657058" w:rsidRPr="008E3621" w:rsidRDefault="00EB7BE6" w:rsidP="00C636BA">
            <w:pPr>
              <w:jc w:val="center"/>
              <w:rPr>
                <w:rFonts w:cs="Arial"/>
                <w:szCs w:val="22"/>
              </w:rPr>
            </w:pPr>
            <w:r>
              <w:rPr>
                <w:rFonts w:cs="Arial"/>
                <w:szCs w:val="22"/>
              </w:rPr>
              <w:t>Low</w:t>
            </w:r>
          </w:p>
        </w:tc>
      </w:tr>
    </w:tbl>
    <w:p w14:paraId="0D6B6B92" w14:textId="77777777" w:rsidR="00AA4E02" w:rsidRPr="008E3621" w:rsidRDefault="00AA4E02" w:rsidP="00AA4E02">
      <w:pPr>
        <w:pStyle w:val="Heading1-Abstract"/>
        <w:numPr>
          <w:ilvl w:val="0"/>
          <w:numId w:val="0"/>
        </w:numPr>
        <w:spacing w:before="0" w:after="0"/>
      </w:pPr>
    </w:p>
    <w:p w14:paraId="6D0A7503" w14:textId="77777777" w:rsidR="00AA4E02" w:rsidRPr="008E3621" w:rsidRDefault="00AA4E02" w:rsidP="00AA4E02">
      <w:pPr>
        <w:pStyle w:val="Heading1-Abstract"/>
        <w:numPr>
          <w:ilvl w:val="0"/>
          <w:numId w:val="0"/>
        </w:numPr>
        <w:ind w:left="540" w:hanging="540"/>
        <w:sectPr w:rsidR="00AA4E02" w:rsidRPr="008E3621">
          <w:footerReference w:type="default" r:id="rId24"/>
          <w:endnotePr>
            <w:numFmt w:val="decimal"/>
          </w:endnotePr>
          <w:pgSz w:w="15840" w:h="12240" w:orient="landscape"/>
          <w:pgMar w:top="1440" w:right="1440" w:bottom="1440" w:left="1440" w:header="720" w:footer="720" w:gutter="0"/>
          <w:pgNumType w:chapStyle="1"/>
          <w:cols w:space="720"/>
          <w:docGrid w:linePitch="360"/>
        </w:sectPr>
      </w:pPr>
    </w:p>
    <w:p w14:paraId="4537DE0A" w14:textId="77777777" w:rsidR="00100AC9" w:rsidRPr="008E3621" w:rsidRDefault="007237A6" w:rsidP="00100AC9">
      <w:pPr>
        <w:pStyle w:val="Heading1-Abstract"/>
        <w:shd w:val="clear" w:color="auto" w:fill="B8CCE4" w:themeFill="accent1" w:themeFillTint="66"/>
      </w:pPr>
      <w:r w:rsidRPr="008E3621">
        <w:lastRenderedPageBreak/>
        <w:t>Proposed</w:t>
      </w:r>
      <w:r w:rsidR="00100AC9" w:rsidRPr="008E3621">
        <w:t xml:space="preserve"> Level of Complexity</w:t>
      </w:r>
    </w:p>
    <w:p w14:paraId="0B4DF97B" w14:textId="073C87FB" w:rsidR="00100AC9" w:rsidRPr="00E976B0" w:rsidRDefault="00894613" w:rsidP="00EB7BE6">
      <w:pPr>
        <w:jc w:val="both"/>
        <w:rPr>
          <w:rFonts w:cs="Arial"/>
        </w:rPr>
      </w:pPr>
      <w:r w:rsidRPr="00E976B0">
        <w:rPr>
          <w:rFonts w:cs="Arial"/>
        </w:rPr>
        <w:t>Since this is a straightforward deemed rebate, drop-in retrofit with constant savings, a high level of confidence, and similar findings from AESC, Oak Ridge National Labs, and the manufacturer, we believe the level of complexity and risk are</w:t>
      </w:r>
      <w:r w:rsidR="00E976B0" w:rsidRPr="00E976B0">
        <w:rPr>
          <w:rFonts w:cs="Arial"/>
        </w:rPr>
        <w:t xml:space="preserve"> </w:t>
      </w:r>
      <w:r w:rsidRPr="00E976B0">
        <w:rPr>
          <w:rFonts w:cs="Arial"/>
        </w:rPr>
        <w:t>low.</w:t>
      </w:r>
    </w:p>
    <w:p w14:paraId="332BB0BE" w14:textId="77777777" w:rsidR="003F2851" w:rsidRPr="008E3621" w:rsidRDefault="003F2851" w:rsidP="003F2851">
      <w:pPr>
        <w:pStyle w:val="Heading1-Abstract"/>
        <w:shd w:val="clear" w:color="auto" w:fill="B8CCE4" w:themeFill="accent1" w:themeFillTint="66"/>
      </w:pPr>
      <w:r w:rsidRPr="008E3621">
        <w:t>Preliminary TRC Estimates</w:t>
      </w:r>
    </w:p>
    <w:p w14:paraId="55643EB4" w14:textId="7BA8CAEC" w:rsidR="003F2851" w:rsidRPr="008E3621" w:rsidRDefault="00C20A1C" w:rsidP="00C20A1C">
      <w:pPr>
        <w:pStyle w:val="Caption"/>
        <w:spacing w:after="60"/>
        <w:rPr>
          <w:rFonts w:cs="Arial"/>
        </w:rPr>
      </w:pPr>
      <w:r w:rsidRPr="008E3621">
        <w:rPr>
          <w:rFonts w:cs="Arial"/>
        </w:rPr>
        <w:t xml:space="preserve">Table </w:t>
      </w:r>
      <w:r w:rsidR="00E05C7E" w:rsidRPr="008E3621">
        <w:rPr>
          <w:rFonts w:cs="Arial"/>
        </w:rPr>
        <w:fldChar w:fldCharType="begin"/>
      </w:r>
      <w:r w:rsidRPr="008E3621">
        <w:rPr>
          <w:rFonts w:cs="Arial"/>
        </w:rPr>
        <w:instrText xml:space="preserve"> SEQ Table \* ARABIC </w:instrText>
      </w:r>
      <w:r w:rsidR="00E05C7E" w:rsidRPr="008E3621">
        <w:rPr>
          <w:rFonts w:cs="Arial"/>
        </w:rPr>
        <w:fldChar w:fldCharType="separate"/>
      </w:r>
      <w:r w:rsidR="00053957">
        <w:rPr>
          <w:rFonts w:cs="Arial"/>
          <w:noProof/>
        </w:rPr>
        <w:t>7</w:t>
      </w:r>
      <w:r w:rsidR="00E05C7E" w:rsidRPr="008E3621">
        <w:rPr>
          <w:rFonts w:cs="Arial"/>
        </w:rPr>
        <w:fldChar w:fldCharType="end"/>
      </w:r>
      <w:r w:rsidRPr="008E3621">
        <w:rPr>
          <w:rFonts w:cs="Arial"/>
          <w:b w:val="0"/>
        </w:rPr>
        <w:t xml:space="preserve"> Preliminary TRC Estimates and Parameters</w:t>
      </w:r>
    </w:p>
    <w:tbl>
      <w:tblPr>
        <w:tblStyle w:val="TableGrid"/>
        <w:tblW w:w="93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795"/>
        <w:gridCol w:w="2245"/>
        <w:gridCol w:w="2047"/>
        <w:gridCol w:w="3263"/>
      </w:tblGrid>
      <w:tr w:rsidR="00902555" w:rsidRPr="008E3621" w14:paraId="1FF2AB01" w14:textId="77777777">
        <w:tc>
          <w:tcPr>
            <w:tcW w:w="1795" w:type="dxa"/>
            <w:shd w:val="clear" w:color="auto" w:fill="DAEEF3" w:themeFill="accent5" w:themeFillTint="33"/>
            <w:vAlign w:val="center"/>
          </w:tcPr>
          <w:p w14:paraId="01C66F7D" w14:textId="77777777" w:rsidR="00902555" w:rsidRPr="008E3621" w:rsidRDefault="00902555" w:rsidP="003B53C4">
            <w:pPr>
              <w:jc w:val="center"/>
              <w:rPr>
                <w:rFonts w:cs="Arial"/>
                <w:b/>
                <w:sz w:val="20"/>
                <w:szCs w:val="20"/>
              </w:rPr>
            </w:pPr>
            <w:r w:rsidRPr="008E3621">
              <w:rPr>
                <w:rFonts w:cs="Arial"/>
                <w:b/>
                <w:sz w:val="20"/>
                <w:szCs w:val="20"/>
              </w:rPr>
              <w:t>TRC Parameter</w:t>
            </w:r>
          </w:p>
        </w:tc>
        <w:tc>
          <w:tcPr>
            <w:tcW w:w="2245" w:type="dxa"/>
            <w:shd w:val="clear" w:color="auto" w:fill="DAEEF3" w:themeFill="accent5" w:themeFillTint="33"/>
            <w:vAlign w:val="center"/>
          </w:tcPr>
          <w:p w14:paraId="34AFB7B2" w14:textId="77777777" w:rsidR="00C17AEE" w:rsidRPr="008E3621" w:rsidRDefault="00902555" w:rsidP="003B53C4">
            <w:pPr>
              <w:jc w:val="center"/>
              <w:rPr>
                <w:rFonts w:cs="Arial"/>
                <w:b/>
                <w:sz w:val="20"/>
                <w:szCs w:val="20"/>
              </w:rPr>
            </w:pPr>
            <w:r w:rsidRPr="008E3621">
              <w:rPr>
                <w:rFonts w:cs="Arial"/>
                <w:b/>
                <w:sz w:val="20"/>
                <w:szCs w:val="20"/>
              </w:rPr>
              <w:t>Parameter Estimate</w:t>
            </w:r>
            <w:r w:rsidR="004F24C7" w:rsidRPr="008E3621">
              <w:rPr>
                <w:rFonts w:cs="Arial"/>
                <w:b/>
                <w:sz w:val="20"/>
                <w:szCs w:val="20"/>
              </w:rPr>
              <w:t xml:space="preserve"> or </w:t>
            </w:r>
          </w:p>
          <w:p w14:paraId="542704BA" w14:textId="77777777" w:rsidR="00902555" w:rsidRPr="008E3621" w:rsidRDefault="004F24C7" w:rsidP="00C17AEE">
            <w:pPr>
              <w:jc w:val="center"/>
              <w:rPr>
                <w:rFonts w:cs="Arial"/>
                <w:b/>
                <w:sz w:val="20"/>
                <w:szCs w:val="20"/>
              </w:rPr>
            </w:pPr>
            <w:r w:rsidRPr="008E3621">
              <w:rPr>
                <w:rFonts w:cs="Arial"/>
                <w:b/>
                <w:sz w:val="20"/>
                <w:szCs w:val="20"/>
              </w:rPr>
              <w:t xml:space="preserve">Required </w:t>
            </w:r>
            <w:r w:rsidR="00C17AEE" w:rsidRPr="008E3621">
              <w:rPr>
                <w:rFonts w:cs="Arial"/>
                <w:b/>
                <w:sz w:val="20"/>
                <w:szCs w:val="20"/>
              </w:rPr>
              <w:t xml:space="preserve">Parameter Value </w:t>
            </w:r>
            <w:r w:rsidRPr="008E3621">
              <w:rPr>
                <w:rFonts w:cs="Arial"/>
                <w:b/>
                <w:sz w:val="20"/>
                <w:szCs w:val="20"/>
              </w:rPr>
              <w:t xml:space="preserve">Threshold </w:t>
            </w:r>
            <w:r w:rsidRPr="008E3621">
              <w:rPr>
                <w:rFonts w:cs="Arial"/>
                <w:sz w:val="20"/>
                <w:szCs w:val="20"/>
              </w:rPr>
              <w:t>(specify</w:t>
            </w:r>
            <w:r w:rsidR="00C17AEE" w:rsidRPr="008E3621">
              <w:rPr>
                <w:rFonts w:cs="Arial"/>
                <w:sz w:val="20"/>
                <w:szCs w:val="20"/>
              </w:rPr>
              <w:t xml:space="preserve"> if estimate or threshold</w:t>
            </w:r>
            <w:r w:rsidRPr="008E3621">
              <w:rPr>
                <w:rFonts w:cs="Arial"/>
                <w:sz w:val="20"/>
                <w:szCs w:val="20"/>
              </w:rPr>
              <w:t>)</w:t>
            </w:r>
          </w:p>
        </w:tc>
        <w:tc>
          <w:tcPr>
            <w:tcW w:w="2047" w:type="dxa"/>
            <w:shd w:val="clear" w:color="auto" w:fill="DAEEF3" w:themeFill="accent5" w:themeFillTint="33"/>
            <w:vAlign w:val="center"/>
          </w:tcPr>
          <w:p w14:paraId="77ED34F9" w14:textId="77777777" w:rsidR="00902555" w:rsidRPr="008E3621" w:rsidRDefault="00902555" w:rsidP="00902555">
            <w:pPr>
              <w:jc w:val="center"/>
              <w:rPr>
                <w:rFonts w:cs="Arial"/>
                <w:b/>
                <w:sz w:val="20"/>
                <w:szCs w:val="20"/>
              </w:rPr>
            </w:pPr>
            <w:r w:rsidRPr="008E3621">
              <w:rPr>
                <w:rFonts w:cs="Arial"/>
                <w:b/>
                <w:sz w:val="20"/>
                <w:szCs w:val="20"/>
              </w:rPr>
              <w:t xml:space="preserve">Confidence Level </w:t>
            </w:r>
          </w:p>
          <w:p w14:paraId="621639C1" w14:textId="77777777" w:rsidR="00902555" w:rsidRPr="008E3621" w:rsidRDefault="00902555" w:rsidP="00902555">
            <w:pPr>
              <w:jc w:val="center"/>
              <w:rPr>
                <w:rFonts w:cs="Arial"/>
                <w:b/>
                <w:sz w:val="20"/>
                <w:szCs w:val="20"/>
              </w:rPr>
            </w:pPr>
            <w:r w:rsidRPr="008E3621">
              <w:rPr>
                <w:rFonts w:cs="Arial"/>
                <w:b/>
                <w:sz w:val="20"/>
                <w:szCs w:val="20"/>
              </w:rPr>
              <w:t>(High, Medium, Low)</w:t>
            </w:r>
          </w:p>
        </w:tc>
        <w:tc>
          <w:tcPr>
            <w:tcW w:w="3263" w:type="dxa"/>
            <w:shd w:val="clear" w:color="auto" w:fill="DAEEF3" w:themeFill="accent5" w:themeFillTint="33"/>
            <w:vAlign w:val="center"/>
          </w:tcPr>
          <w:p w14:paraId="09B2805A" w14:textId="77777777" w:rsidR="00902555" w:rsidRPr="008E3621" w:rsidRDefault="00902555" w:rsidP="003B53C4">
            <w:pPr>
              <w:jc w:val="center"/>
              <w:rPr>
                <w:rFonts w:cs="Arial"/>
                <w:b/>
                <w:sz w:val="20"/>
                <w:szCs w:val="20"/>
              </w:rPr>
            </w:pPr>
            <w:r w:rsidRPr="008E3621">
              <w:rPr>
                <w:rFonts w:cs="Arial"/>
                <w:b/>
                <w:sz w:val="20"/>
                <w:szCs w:val="20"/>
              </w:rPr>
              <w:t>Comments</w:t>
            </w:r>
          </w:p>
        </w:tc>
      </w:tr>
      <w:tr w:rsidR="00902555" w:rsidRPr="008E3621" w14:paraId="10C15559" w14:textId="77777777">
        <w:tc>
          <w:tcPr>
            <w:tcW w:w="1795" w:type="dxa"/>
            <w:vAlign w:val="center"/>
          </w:tcPr>
          <w:p w14:paraId="3B970295" w14:textId="77777777" w:rsidR="00902555" w:rsidRPr="008E3621" w:rsidRDefault="00902555" w:rsidP="003B53C4">
            <w:pPr>
              <w:jc w:val="center"/>
              <w:rPr>
                <w:rFonts w:cs="Arial"/>
                <w:sz w:val="20"/>
                <w:szCs w:val="20"/>
              </w:rPr>
            </w:pPr>
            <w:r w:rsidRPr="008E3621">
              <w:rPr>
                <w:rFonts w:cs="Arial"/>
                <w:sz w:val="20"/>
                <w:szCs w:val="20"/>
              </w:rPr>
              <w:t>UES</w:t>
            </w:r>
          </w:p>
        </w:tc>
        <w:tc>
          <w:tcPr>
            <w:tcW w:w="2245" w:type="dxa"/>
          </w:tcPr>
          <w:p w14:paraId="2B4AD0F7" w14:textId="77777777" w:rsidR="00902555" w:rsidRPr="008E3621" w:rsidRDefault="00902555" w:rsidP="003B53C4">
            <w:pPr>
              <w:jc w:val="center"/>
              <w:rPr>
                <w:rFonts w:cs="Arial"/>
                <w:sz w:val="20"/>
                <w:szCs w:val="20"/>
              </w:rPr>
            </w:pPr>
          </w:p>
        </w:tc>
        <w:tc>
          <w:tcPr>
            <w:tcW w:w="2047" w:type="dxa"/>
            <w:vAlign w:val="center"/>
          </w:tcPr>
          <w:p w14:paraId="703F6E77" w14:textId="77777777" w:rsidR="00902555" w:rsidRPr="008E3621" w:rsidRDefault="00902555" w:rsidP="003B53C4">
            <w:pPr>
              <w:jc w:val="center"/>
              <w:rPr>
                <w:rFonts w:cs="Arial"/>
                <w:sz w:val="20"/>
                <w:szCs w:val="20"/>
              </w:rPr>
            </w:pPr>
          </w:p>
        </w:tc>
        <w:tc>
          <w:tcPr>
            <w:tcW w:w="3263" w:type="dxa"/>
            <w:vAlign w:val="center"/>
          </w:tcPr>
          <w:p w14:paraId="4C7DCA29" w14:textId="77777777" w:rsidR="00902555" w:rsidRPr="008E3621" w:rsidRDefault="00902555" w:rsidP="003B53C4">
            <w:pPr>
              <w:jc w:val="center"/>
              <w:rPr>
                <w:rFonts w:cs="Arial"/>
                <w:sz w:val="20"/>
                <w:szCs w:val="20"/>
              </w:rPr>
            </w:pPr>
          </w:p>
        </w:tc>
      </w:tr>
      <w:tr w:rsidR="00902555" w:rsidRPr="008E3621" w14:paraId="627CD945" w14:textId="77777777">
        <w:tc>
          <w:tcPr>
            <w:tcW w:w="1795" w:type="dxa"/>
            <w:shd w:val="clear" w:color="auto" w:fill="DAEEF3" w:themeFill="accent5" w:themeFillTint="33"/>
            <w:vAlign w:val="center"/>
          </w:tcPr>
          <w:p w14:paraId="63F3F1A0" w14:textId="77777777" w:rsidR="00902555" w:rsidRPr="008E3621" w:rsidRDefault="00902555" w:rsidP="003B53C4">
            <w:pPr>
              <w:jc w:val="center"/>
              <w:rPr>
                <w:rFonts w:cs="Arial"/>
                <w:sz w:val="20"/>
                <w:szCs w:val="20"/>
              </w:rPr>
            </w:pPr>
            <w:r w:rsidRPr="008E3621">
              <w:rPr>
                <w:rFonts w:cs="Arial"/>
                <w:sz w:val="20"/>
                <w:szCs w:val="20"/>
              </w:rPr>
              <w:t>IMC</w:t>
            </w:r>
          </w:p>
        </w:tc>
        <w:tc>
          <w:tcPr>
            <w:tcW w:w="2245" w:type="dxa"/>
            <w:shd w:val="clear" w:color="auto" w:fill="DAEEF3" w:themeFill="accent5" w:themeFillTint="33"/>
          </w:tcPr>
          <w:p w14:paraId="20896D1B" w14:textId="56D2C78E" w:rsidR="00902555" w:rsidRPr="008E3621" w:rsidRDefault="00686BC0" w:rsidP="003B53C4">
            <w:pPr>
              <w:jc w:val="center"/>
              <w:rPr>
                <w:rFonts w:cs="Arial"/>
                <w:sz w:val="20"/>
                <w:szCs w:val="20"/>
              </w:rPr>
            </w:pPr>
            <w:r>
              <w:rPr>
                <w:rFonts w:cs="Arial"/>
                <w:sz w:val="20"/>
                <w:szCs w:val="20"/>
              </w:rPr>
              <w:t>$96</w:t>
            </w:r>
          </w:p>
        </w:tc>
        <w:tc>
          <w:tcPr>
            <w:tcW w:w="2047" w:type="dxa"/>
            <w:shd w:val="clear" w:color="auto" w:fill="DAEEF3" w:themeFill="accent5" w:themeFillTint="33"/>
            <w:vAlign w:val="center"/>
          </w:tcPr>
          <w:p w14:paraId="532B6073"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42200C18" w14:textId="77777777" w:rsidR="00902555" w:rsidRPr="008E3621" w:rsidRDefault="00902555" w:rsidP="003B53C4">
            <w:pPr>
              <w:jc w:val="center"/>
              <w:rPr>
                <w:rFonts w:cs="Arial"/>
                <w:sz w:val="20"/>
                <w:szCs w:val="20"/>
              </w:rPr>
            </w:pPr>
          </w:p>
        </w:tc>
      </w:tr>
      <w:tr w:rsidR="00902555" w:rsidRPr="008E3621" w14:paraId="57E99303" w14:textId="77777777">
        <w:tc>
          <w:tcPr>
            <w:tcW w:w="1795" w:type="dxa"/>
            <w:vAlign w:val="center"/>
          </w:tcPr>
          <w:p w14:paraId="6AA82320" w14:textId="77777777" w:rsidR="00902555" w:rsidRPr="008E3621" w:rsidRDefault="00902555" w:rsidP="003B53C4">
            <w:pPr>
              <w:jc w:val="center"/>
              <w:rPr>
                <w:rFonts w:cs="Arial"/>
                <w:sz w:val="20"/>
                <w:szCs w:val="20"/>
              </w:rPr>
            </w:pPr>
            <w:r w:rsidRPr="008E3621">
              <w:rPr>
                <w:rFonts w:cs="Arial"/>
                <w:sz w:val="20"/>
                <w:szCs w:val="20"/>
              </w:rPr>
              <w:t>EUL</w:t>
            </w:r>
          </w:p>
        </w:tc>
        <w:tc>
          <w:tcPr>
            <w:tcW w:w="2245" w:type="dxa"/>
          </w:tcPr>
          <w:p w14:paraId="4F587484" w14:textId="2F24C8B3" w:rsidR="00902555" w:rsidRPr="008E3621" w:rsidRDefault="00686BC0" w:rsidP="003B53C4">
            <w:pPr>
              <w:jc w:val="center"/>
              <w:rPr>
                <w:rFonts w:cs="Arial"/>
                <w:sz w:val="20"/>
                <w:szCs w:val="20"/>
              </w:rPr>
            </w:pPr>
            <w:r>
              <w:rPr>
                <w:rFonts w:cs="Arial"/>
                <w:sz w:val="20"/>
                <w:szCs w:val="20"/>
              </w:rPr>
              <w:t>15</w:t>
            </w:r>
          </w:p>
        </w:tc>
        <w:tc>
          <w:tcPr>
            <w:tcW w:w="2047" w:type="dxa"/>
            <w:vAlign w:val="center"/>
          </w:tcPr>
          <w:p w14:paraId="0F7AC964" w14:textId="77777777" w:rsidR="00902555" w:rsidRPr="008E3621" w:rsidRDefault="00902555" w:rsidP="003B53C4">
            <w:pPr>
              <w:jc w:val="center"/>
              <w:rPr>
                <w:rFonts w:cs="Arial"/>
                <w:sz w:val="20"/>
                <w:szCs w:val="20"/>
              </w:rPr>
            </w:pPr>
          </w:p>
        </w:tc>
        <w:tc>
          <w:tcPr>
            <w:tcW w:w="3263" w:type="dxa"/>
            <w:vAlign w:val="center"/>
          </w:tcPr>
          <w:p w14:paraId="748CC835" w14:textId="77777777" w:rsidR="00902555" w:rsidRPr="008E3621" w:rsidRDefault="00902555" w:rsidP="003B53C4">
            <w:pPr>
              <w:jc w:val="center"/>
              <w:rPr>
                <w:rFonts w:cs="Arial"/>
                <w:sz w:val="20"/>
                <w:szCs w:val="20"/>
              </w:rPr>
            </w:pPr>
          </w:p>
        </w:tc>
      </w:tr>
      <w:tr w:rsidR="00902555" w:rsidRPr="008E3621" w14:paraId="041D4FBD" w14:textId="77777777">
        <w:tc>
          <w:tcPr>
            <w:tcW w:w="1795" w:type="dxa"/>
            <w:shd w:val="clear" w:color="auto" w:fill="DAEEF3" w:themeFill="accent5" w:themeFillTint="33"/>
            <w:vAlign w:val="center"/>
          </w:tcPr>
          <w:p w14:paraId="36B9BA60" w14:textId="77777777" w:rsidR="00902555" w:rsidRPr="008E3621" w:rsidRDefault="00902555" w:rsidP="003B53C4">
            <w:pPr>
              <w:jc w:val="center"/>
              <w:rPr>
                <w:rFonts w:cs="Arial"/>
                <w:sz w:val="20"/>
                <w:szCs w:val="20"/>
              </w:rPr>
            </w:pPr>
            <w:r w:rsidRPr="008E3621">
              <w:rPr>
                <w:rFonts w:cs="Arial"/>
                <w:sz w:val="20"/>
                <w:szCs w:val="20"/>
              </w:rPr>
              <w:t>NTG</w:t>
            </w:r>
          </w:p>
        </w:tc>
        <w:tc>
          <w:tcPr>
            <w:tcW w:w="2245" w:type="dxa"/>
            <w:shd w:val="clear" w:color="auto" w:fill="DAEEF3" w:themeFill="accent5" w:themeFillTint="33"/>
          </w:tcPr>
          <w:p w14:paraId="0E2FB804" w14:textId="5EF20E86" w:rsidR="00902555" w:rsidRPr="008E3621" w:rsidRDefault="00686BC0" w:rsidP="003B53C4">
            <w:pPr>
              <w:jc w:val="center"/>
              <w:rPr>
                <w:rFonts w:cs="Arial"/>
                <w:sz w:val="20"/>
                <w:szCs w:val="20"/>
              </w:rPr>
            </w:pPr>
            <w:r>
              <w:rPr>
                <w:rFonts w:cs="Arial"/>
                <w:sz w:val="20"/>
                <w:szCs w:val="20"/>
              </w:rPr>
              <w:t>0.95</w:t>
            </w:r>
          </w:p>
        </w:tc>
        <w:tc>
          <w:tcPr>
            <w:tcW w:w="2047" w:type="dxa"/>
            <w:shd w:val="clear" w:color="auto" w:fill="DAEEF3" w:themeFill="accent5" w:themeFillTint="33"/>
            <w:vAlign w:val="center"/>
          </w:tcPr>
          <w:p w14:paraId="57B31B56"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0D2CA0B1" w14:textId="77777777" w:rsidR="00902555" w:rsidRPr="008E3621" w:rsidRDefault="00902555" w:rsidP="003B53C4">
            <w:pPr>
              <w:jc w:val="center"/>
              <w:rPr>
                <w:rFonts w:cs="Arial"/>
                <w:sz w:val="20"/>
                <w:szCs w:val="20"/>
              </w:rPr>
            </w:pPr>
          </w:p>
        </w:tc>
      </w:tr>
      <w:tr w:rsidR="00902555" w:rsidRPr="008E3621" w14:paraId="4F779AD0" w14:textId="77777777">
        <w:tc>
          <w:tcPr>
            <w:tcW w:w="1795" w:type="dxa"/>
            <w:vAlign w:val="center"/>
          </w:tcPr>
          <w:p w14:paraId="7388CA4B" w14:textId="77777777" w:rsidR="00902555" w:rsidRPr="008E3621" w:rsidRDefault="00902555" w:rsidP="003B53C4">
            <w:pPr>
              <w:jc w:val="center"/>
              <w:rPr>
                <w:rFonts w:cs="Arial"/>
                <w:sz w:val="20"/>
                <w:szCs w:val="20"/>
              </w:rPr>
            </w:pPr>
            <w:r w:rsidRPr="008E3621">
              <w:rPr>
                <w:rFonts w:cs="Arial"/>
                <w:sz w:val="20"/>
                <w:szCs w:val="20"/>
              </w:rPr>
              <w:t>Incentive/unit</w:t>
            </w:r>
          </w:p>
        </w:tc>
        <w:tc>
          <w:tcPr>
            <w:tcW w:w="2245" w:type="dxa"/>
          </w:tcPr>
          <w:p w14:paraId="61C587C5" w14:textId="14576E12" w:rsidR="00902555" w:rsidRPr="008E3621" w:rsidRDefault="00686BC0" w:rsidP="003B53C4">
            <w:pPr>
              <w:jc w:val="center"/>
              <w:rPr>
                <w:rFonts w:cs="Arial"/>
                <w:sz w:val="20"/>
                <w:szCs w:val="20"/>
              </w:rPr>
            </w:pPr>
            <w:r>
              <w:rPr>
                <w:rFonts w:cs="Arial"/>
                <w:sz w:val="20"/>
                <w:szCs w:val="20"/>
              </w:rPr>
              <w:t>$20-60</w:t>
            </w:r>
          </w:p>
        </w:tc>
        <w:tc>
          <w:tcPr>
            <w:tcW w:w="2047" w:type="dxa"/>
            <w:vAlign w:val="center"/>
          </w:tcPr>
          <w:p w14:paraId="71F67963" w14:textId="77777777" w:rsidR="00902555" w:rsidRPr="008E3621" w:rsidRDefault="00902555" w:rsidP="003B53C4">
            <w:pPr>
              <w:jc w:val="center"/>
              <w:rPr>
                <w:rFonts w:cs="Arial"/>
                <w:sz w:val="20"/>
                <w:szCs w:val="20"/>
              </w:rPr>
            </w:pPr>
          </w:p>
        </w:tc>
        <w:tc>
          <w:tcPr>
            <w:tcW w:w="3263" w:type="dxa"/>
            <w:vAlign w:val="center"/>
          </w:tcPr>
          <w:p w14:paraId="179BCF97" w14:textId="77777777" w:rsidR="00902555" w:rsidRPr="008E3621" w:rsidRDefault="00902555" w:rsidP="003B53C4">
            <w:pPr>
              <w:jc w:val="center"/>
              <w:rPr>
                <w:rFonts w:cs="Arial"/>
                <w:sz w:val="20"/>
                <w:szCs w:val="20"/>
              </w:rPr>
            </w:pPr>
          </w:p>
        </w:tc>
      </w:tr>
      <w:tr w:rsidR="00902555" w:rsidRPr="008E3621" w14:paraId="4F089E5F" w14:textId="77777777">
        <w:tc>
          <w:tcPr>
            <w:tcW w:w="1795" w:type="dxa"/>
            <w:shd w:val="clear" w:color="auto" w:fill="DAEEF3" w:themeFill="accent5" w:themeFillTint="33"/>
            <w:vAlign w:val="center"/>
          </w:tcPr>
          <w:p w14:paraId="3A7AF7ED" w14:textId="77777777" w:rsidR="00902555" w:rsidRPr="008E3621" w:rsidRDefault="00902555" w:rsidP="003B53C4">
            <w:pPr>
              <w:jc w:val="center"/>
              <w:rPr>
                <w:rFonts w:cs="Arial"/>
                <w:sz w:val="20"/>
                <w:szCs w:val="20"/>
              </w:rPr>
            </w:pPr>
            <w:r w:rsidRPr="008E3621">
              <w:rPr>
                <w:rFonts w:cs="Arial"/>
                <w:sz w:val="20"/>
                <w:szCs w:val="20"/>
              </w:rPr>
              <w:t>Number of units</w:t>
            </w:r>
          </w:p>
        </w:tc>
        <w:tc>
          <w:tcPr>
            <w:tcW w:w="2245" w:type="dxa"/>
            <w:shd w:val="clear" w:color="auto" w:fill="DAEEF3" w:themeFill="accent5" w:themeFillTint="33"/>
          </w:tcPr>
          <w:p w14:paraId="1A861B30" w14:textId="501B44AD" w:rsidR="00902555" w:rsidRPr="008E3621" w:rsidRDefault="00686BC0" w:rsidP="003B53C4">
            <w:pPr>
              <w:jc w:val="center"/>
              <w:rPr>
                <w:rFonts w:cs="Arial"/>
                <w:sz w:val="20"/>
                <w:szCs w:val="20"/>
              </w:rPr>
            </w:pPr>
            <w:r>
              <w:rPr>
                <w:rFonts w:cs="Arial"/>
                <w:sz w:val="20"/>
                <w:szCs w:val="20"/>
              </w:rPr>
              <w:t>Thousands</w:t>
            </w:r>
          </w:p>
        </w:tc>
        <w:tc>
          <w:tcPr>
            <w:tcW w:w="2047" w:type="dxa"/>
            <w:shd w:val="clear" w:color="auto" w:fill="DAEEF3" w:themeFill="accent5" w:themeFillTint="33"/>
            <w:vAlign w:val="center"/>
          </w:tcPr>
          <w:p w14:paraId="25CDBCFB"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60D7BA08" w14:textId="77777777" w:rsidR="00902555" w:rsidRPr="008E3621" w:rsidRDefault="00902555" w:rsidP="003B53C4">
            <w:pPr>
              <w:jc w:val="center"/>
              <w:rPr>
                <w:rFonts w:cs="Arial"/>
                <w:sz w:val="20"/>
                <w:szCs w:val="20"/>
              </w:rPr>
            </w:pPr>
          </w:p>
        </w:tc>
      </w:tr>
      <w:tr w:rsidR="00902555" w:rsidRPr="008E3621" w14:paraId="57BDE14C" w14:textId="77777777">
        <w:tc>
          <w:tcPr>
            <w:tcW w:w="1795" w:type="dxa"/>
            <w:vAlign w:val="center"/>
          </w:tcPr>
          <w:p w14:paraId="18B077B5" w14:textId="77777777" w:rsidR="00902555" w:rsidRPr="008E3621" w:rsidRDefault="00317043" w:rsidP="003B53C4">
            <w:pPr>
              <w:jc w:val="center"/>
              <w:rPr>
                <w:rFonts w:cs="Arial"/>
                <w:sz w:val="20"/>
                <w:szCs w:val="20"/>
              </w:rPr>
            </w:pPr>
            <w:r w:rsidRPr="008E3621">
              <w:rPr>
                <w:rFonts w:cs="Arial"/>
                <w:sz w:val="20"/>
                <w:szCs w:val="20"/>
              </w:rPr>
              <w:t>Installation Rate</w:t>
            </w:r>
          </w:p>
        </w:tc>
        <w:tc>
          <w:tcPr>
            <w:tcW w:w="2245" w:type="dxa"/>
          </w:tcPr>
          <w:p w14:paraId="44ED2263" w14:textId="173245DB" w:rsidR="00902555" w:rsidRPr="008E3621" w:rsidRDefault="00686BC0" w:rsidP="003B53C4">
            <w:pPr>
              <w:jc w:val="center"/>
              <w:rPr>
                <w:rFonts w:cs="Arial"/>
                <w:sz w:val="20"/>
                <w:szCs w:val="20"/>
              </w:rPr>
            </w:pPr>
            <w:r>
              <w:rPr>
                <w:rFonts w:cs="Arial"/>
                <w:sz w:val="20"/>
                <w:szCs w:val="20"/>
              </w:rPr>
              <w:t>0.8</w:t>
            </w:r>
          </w:p>
        </w:tc>
        <w:tc>
          <w:tcPr>
            <w:tcW w:w="2047" w:type="dxa"/>
            <w:vAlign w:val="center"/>
          </w:tcPr>
          <w:p w14:paraId="584CFC51" w14:textId="77777777" w:rsidR="00902555" w:rsidRPr="008E3621" w:rsidRDefault="00902555" w:rsidP="003B53C4">
            <w:pPr>
              <w:jc w:val="center"/>
              <w:rPr>
                <w:rFonts w:cs="Arial"/>
                <w:sz w:val="20"/>
                <w:szCs w:val="20"/>
              </w:rPr>
            </w:pPr>
          </w:p>
        </w:tc>
        <w:tc>
          <w:tcPr>
            <w:tcW w:w="3263" w:type="dxa"/>
            <w:vAlign w:val="center"/>
          </w:tcPr>
          <w:p w14:paraId="1C788CCA" w14:textId="77777777" w:rsidR="00902555" w:rsidRPr="008E3621" w:rsidRDefault="00902555" w:rsidP="003B53C4">
            <w:pPr>
              <w:jc w:val="center"/>
              <w:rPr>
                <w:rFonts w:cs="Arial"/>
                <w:sz w:val="20"/>
                <w:szCs w:val="20"/>
              </w:rPr>
            </w:pPr>
          </w:p>
        </w:tc>
      </w:tr>
      <w:tr w:rsidR="00902555" w:rsidRPr="008E3621" w14:paraId="7C48B6E2" w14:textId="77777777">
        <w:tc>
          <w:tcPr>
            <w:tcW w:w="1795" w:type="dxa"/>
            <w:shd w:val="clear" w:color="auto" w:fill="DAEEF3" w:themeFill="accent5" w:themeFillTint="33"/>
            <w:vAlign w:val="center"/>
          </w:tcPr>
          <w:p w14:paraId="2A78F821" w14:textId="77777777" w:rsidR="00902555" w:rsidRPr="008E3621" w:rsidRDefault="00317043" w:rsidP="003B53C4">
            <w:pPr>
              <w:jc w:val="center"/>
              <w:rPr>
                <w:rFonts w:cs="Arial"/>
                <w:sz w:val="20"/>
                <w:szCs w:val="20"/>
              </w:rPr>
            </w:pPr>
            <w:r w:rsidRPr="008E3621">
              <w:rPr>
                <w:rFonts w:cs="Arial"/>
                <w:sz w:val="20"/>
                <w:szCs w:val="20"/>
              </w:rPr>
              <w:t>Gross Realization Rate</w:t>
            </w:r>
          </w:p>
        </w:tc>
        <w:tc>
          <w:tcPr>
            <w:tcW w:w="2245" w:type="dxa"/>
            <w:shd w:val="clear" w:color="auto" w:fill="DAEEF3" w:themeFill="accent5" w:themeFillTint="33"/>
          </w:tcPr>
          <w:p w14:paraId="7DD3C374" w14:textId="132E9F46" w:rsidR="00902555" w:rsidRPr="008E3621" w:rsidRDefault="00686BC0" w:rsidP="003B53C4">
            <w:pPr>
              <w:jc w:val="center"/>
              <w:rPr>
                <w:rFonts w:cs="Arial"/>
                <w:sz w:val="20"/>
                <w:szCs w:val="20"/>
              </w:rPr>
            </w:pPr>
            <w:r>
              <w:rPr>
                <w:rFonts w:cs="Arial"/>
                <w:sz w:val="20"/>
                <w:szCs w:val="20"/>
              </w:rPr>
              <w:t>0.9</w:t>
            </w:r>
          </w:p>
        </w:tc>
        <w:tc>
          <w:tcPr>
            <w:tcW w:w="2047" w:type="dxa"/>
            <w:shd w:val="clear" w:color="auto" w:fill="DAEEF3" w:themeFill="accent5" w:themeFillTint="33"/>
            <w:vAlign w:val="center"/>
          </w:tcPr>
          <w:p w14:paraId="3FFE458E"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18BF41B7" w14:textId="77777777" w:rsidR="00902555" w:rsidRPr="008E3621" w:rsidRDefault="00902555" w:rsidP="003B53C4">
            <w:pPr>
              <w:jc w:val="center"/>
              <w:rPr>
                <w:rFonts w:cs="Arial"/>
                <w:sz w:val="20"/>
                <w:szCs w:val="20"/>
              </w:rPr>
            </w:pPr>
          </w:p>
        </w:tc>
      </w:tr>
      <w:tr w:rsidR="00317043" w:rsidRPr="008E3621" w14:paraId="15EDF49B" w14:textId="77777777">
        <w:tc>
          <w:tcPr>
            <w:tcW w:w="1795" w:type="dxa"/>
            <w:vAlign w:val="center"/>
          </w:tcPr>
          <w:p w14:paraId="0C9CFF28" w14:textId="77777777" w:rsidR="00317043" w:rsidRPr="008E3621" w:rsidRDefault="00317043" w:rsidP="003B53C4">
            <w:pPr>
              <w:jc w:val="center"/>
              <w:rPr>
                <w:rFonts w:cs="Arial"/>
                <w:sz w:val="20"/>
                <w:szCs w:val="20"/>
              </w:rPr>
            </w:pPr>
          </w:p>
        </w:tc>
        <w:tc>
          <w:tcPr>
            <w:tcW w:w="2245" w:type="dxa"/>
          </w:tcPr>
          <w:p w14:paraId="7DF5492A" w14:textId="77777777" w:rsidR="00317043" w:rsidRPr="008E3621" w:rsidRDefault="00317043" w:rsidP="003B53C4">
            <w:pPr>
              <w:jc w:val="center"/>
              <w:rPr>
                <w:rFonts w:cs="Arial"/>
                <w:sz w:val="20"/>
                <w:szCs w:val="20"/>
              </w:rPr>
            </w:pPr>
          </w:p>
        </w:tc>
        <w:tc>
          <w:tcPr>
            <w:tcW w:w="2047" w:type="dxa"/>
            <w:vAlign w:val="center"/>
          </w:tcPr>
          <w:p w14:paraId="4604D3D5" w14:textId="77777777" w:rsidR="00317043" w:rsidRPr="008E3621" w:rsidRDefault="00317043" w:rsidP="003B53C4">
            <w:pPr>
              <w:jc w:val="center"/>
              <w:rPr>
                <w:rFonts w:cs="Arial"/>
                <w:sz w:val="20"/>
                <w:szCs w:val="20"/>
              </w:rPr>
            </w:pPr>
          </w:p>
        </w:tc>
        <w:tc>
          <w:tcPr>
            <w:tcW w:w="3263" w:type="dxa"/>
            <w:vAlign w:val="center"/>
          </w:tcPr>
          <w:p w14:paraId="423F6AB8" w14:textId="77777777" w:rsidR="00317043" w:rsidRPr="008E3621" w:rsidRDefault="00317043" w:rsidP="003B53C4">
            <w:pPr>
              <w:jc w:val="center"/>
              <w:rPr>
                <w:rFonts w:cs="Arial"/>
                <w:sz w:val="20"/>
                <w:szCs w:val="20"/>
              </w:rPr>
            </w:pPr>
          </w:p>
        </w:tc>
      </w:tr>
      <w:tr w:rsidR="00317043" w:rsidRPr="008E3621" w14:paraId="676B16A0" w14:textId="77777777">
        <w:tc>
          <w:tcPr>
            <w:tcW w:w="1795" w:type="dxa"/>
            <w:shd w:val="clear" w:color="auto" w:fill="DAEEF3" w:themeFill="accent5" w:themeFillTint="33"/>
            <w:vAlign w:val="center"/>
          </w:tcPr>
          <w:p w14:paraId="64CD9707" w14:textId="77777777" w:rsidR="00317043" w:rsidRPr="008E3621" w:rsidRDefault="00317043" w:rsidP="003B53C4">
            <w:pPr>
              <w:jc w:val="center"/>
              <w:rPr>
                <w:rFonts w:cs="Arial"/>
                <w:sz w:val="20"/>
                <w:szCs w:val="20"/>
              </w:rPr>
            </w:pPr>
          </w:p>
        </w:tc>
        <w:tc>
          <w:tcPr>
            <w:tcW w:w="2245" w:type="dxa"/>
            <w:shd w:val="clear" w:color="auto" w:fill="DAEEF3" w:themeFill="accent5" w:themeFillTint="33"/>
          </w:tcPr>
          <w:p w14:paraId="3E27D4A4" w14:textId="77777777" w:rsidR="00317043" w:rsidRPr="008E3621" w:rsidRDefault="00317043" w:rsidP="003B53C4">
            <w:pPr>
              <w:jc w:val="center"/>
              <w:rPr>
                <w:rFonts w:cs="Arial"/>
                <w:sz w:val="20"/>
                <w:szCs w:val="20"/>
              </w:rPr>
            </w:pPr>
          </w:p>
        </w:tc>
        <w:tc>
          <w:tcPr>
            <w:tcW w:w="2047" w:type="dxa"/>
            <w:shd w:val="clear" w:color="auto" w:fill="DAEEF3" w:themeFill="accent5" w:themeFillTint="33"/>
            <w:vAlign w:val="center"/>
          </w:tcPr>
          <w:p w14:paraId="19155D0A" w14:textId="77777777" w:rsidR="00317043" w:rsidRPr="008E3621" w:rsidRDefault="00317043" w:rsidP="003B53C4">
            <w:pPr>
              <w:jc w:val="center"/>
              <w:rPr>
                <w:rFonts w:cs="Arial"/>
                <w:sz w:val="20"/>
                <w:szCs w:val="20"/>
              </w:rPr>
            </w:pPr>
          </w:p>
        </w:tc>
        <w:tc>
          <w:tcPr>
            <w:tcW w:w="3263" w:type="dxa"/>
            <w:shd w:val="clear" w:color="auto" w:fill="DAEEF3" w:themeFill="accent5" w:themeFillTint="33"/>
            <w:vAlign w:val="center"/>
          </w:tcPr>
          <w:p w14:paraId="639F0AB8" w14:textId="77777777" w:rsidR="00317043" w:rsidRPr="008E3621" w:rsidRDefault="00317043" w:rsidP="003B53C4">
            <w:pPr>
              <w:jc w:val="center"/>
              <w:rPr>
                <w:rFonts w:cs="Arial"/>
                <w:sz w:val="20"/>
                <w:szCs w:val="20"/>
              </w:rPr>
            </w:pPr>
          </w:p>
        </w:tc>
      </w:tr>
      <w:tr w:rsidR="00902555" w:rsidRPr="008E3621" w14:paraId="2A937283" w14:textId="77777777">
        <w:tc>
          <w:tcPr>
            <w:tcW w:w="1795" w:type="dxa"/>
            <w:shd w:val="clear" w:color="auto" w:fill="FFFF00"/>
            <w:vAlign w:val="center"/>
          </w:tcPr>
          <w:p w14:paraId="124FD38A" w14:textId="77777777" w:rsidR="00902555" w:rsidRPr="008E3621" w:rsidRDefault="00902555" w:rsidP="00902555">
            <w:pPr>
              <w:jc w:val="right"/>
              <w:rPr>
                <w:rFonts w:cs="Arial"/>
                <w:b/>
                <w:i/>
              </w:rPr>
            </w:pPr>
            <w:r w:rsidRPr="008E3621">
              <w:rPr>
                <w:rFonts w:cs="Arial"/>
                <w:b/>
                <w:i/>
              </w:rPr>
              <w:t xml:space="preserve">TRC Value:      </w:t>
            </w:r>
          </w:p>
        </w:tc>
        <w:tc>
          <w:tcPr>
            <w:tcW w:w="7555" w:type="dxa"/>
            <w:gridSpan w:val="3"/>
            <w:shd w:val="clear" w:color="auto" w:fill="FFFF00"/>
          </w:tcPr>
          <w:p w14:paraId="1B731FB0" w14:textId="1BDFEA84" w:rsidR="00902555" w:rsidRPr="008E3621" w:rsidRDefault="00686BC0" w:rsidP="00902555">
            <w:pPr>
              <w:rPr>
                <w:rFonts w:cs="Arial"/>
                <w:b/>
                <w:sz w:val="20"/>
                <w:szCs w:val="20"/>
              </w:rPr>
            </w:pPr>
            <w:r>
              <w:rPr>
                <w:rFonts w:cs="Arial"/>
                <w:b/>
                <w:sz w:val="20"/>
                <w:szCs w:val="20"/>
              </w:rPr>
              <w:t>Estimated 1.1 – 2.0</w:t>
            </w:r>
          </w:p>
        </w:tc>
      </w:tr>
    </w:tbl>
    <w:p w14:paraId="759CE1AE" w14:textId="77777777" w:rsidR="00100AC9" w:rsidRPr="008E3621" w:rsidRDefault="00100AC9" w:rsidP="003F2851">
      <w:pPr>
        <w:rPr>
          <w:rFonts w:cs="Arial"/>
        </w:rPr>
      </w:pPr>
    </w:p>
    <w:p w14:paraId="4F02E2DA" w14:textId="77777777" w:rsidR="00534D65" w:rsidRPr="008E3621" w:rsidRDefault="00534D65" w:rsidP="00534D65">
      <w:pPr>
        <w:pStyle w:val="Heading1-Abstract"/>
        <w:shd w:val="clear" w:color="auto" w:fill="B8CCE4" w:themeFill="accent1" w:themeFillTint="66"/>
      </w:pPr>
      <w:r w:rsidRPr="008E3621">
        <w:t>Literature Review</w:t>
      </w:r>
    </w:p>
    <w:p w14:paraId="62F7B34D" w14:textId="524FF7E1" w:rsidR="00894613" w:rsidRPr="00E976B0" w:rsidRDefault="00894613" w:rsidP="00EB7BE6">
      <w:pPr>
        <w:pStyle w:val="Heading1-Abstract"/>
        <w:numPr>
          <w:ilvl w:val="0"/>
          <w:numId w:val="0"/>
        </w:numPr>
        <w:spacing w:before="0" w:after="0"/>
        <w:jc w:val="both"/>
        <w:rPr>
          <w:b w:val="0"/>
          <w:sz w:val="22"/>
          <w:szCs w:val="22"/>
        </w:rPr>
      </w:pPr>
      <w:r w:rsidRPr="00E976B0">
        <w:rPr>
          <w:b w:val="0"/>
          <w:sz w:val="22"/>
          <w:szCs w:val="22"/>
        </w:rPr>
        <w:t>Small motors comprise a significant portion of grid demand and will not decrease in the foreseeable future without measures such as the one proposed here. This type of motor and low cost VFDs are the only expected technologies in the pipeline that could address this end-use. As far as the author’s know, the technology has not yet been granted program support i</w:t>
      </w:r>
      <w:r w:rsidR="00EB7BE6">
        <w:rPr>
          <w:b w:val="0"/>
          <w:sz w:val="22"/>
          <w:szCs w:val="22"/>
        </w:rPr>
        <w:t>n other jurisdictions due to it</w:t>
      </w:r>
      <w:r w:rsidRPr="00E976B0">
        <w:rPr>
          <w:b w:val="0"/>
          <w:sz w:val="22"/>
          <w:szCs w:val="22"/>
        </w:rPr>
        <w:t>s being a brand new available product.</w:t>
      </w:r>
    </w:p>
    <w:p w14:paraId="55474046" w14:textId="77777777" w:rsidR="00894613" w:rsidRPr="00E976B0" w:rsidRDefault="00894613" w:rsidP="00534D65">
      <w:pPr>
        <w:pStyle w:val="Heading1-Abstract"/>
        <w:numPr>
          <w:ilvl w:val="0"/>
          <w:numId w:val="0"/>
        </w:numPr>
        <w:spacing w:before="0" w:after="0"/>
        <w:rPr>
          <w:b w:val="0"/>
          <w:sz w:val="22"/>
          <w:szCs w:val="22"/>
        </w:rPr>
      </w:pPr>
    </w:p>
    <w:p w14:paraId="2979A428" w14:textId="3A9B6D7F" w:rsidR="00894613" w:rsidRPr="00E976B0" w:rsidRDefault="00894613" w:rsidP="00534D65">
      <w:pPr>
        <w:pStyle w:val="Heading1-Abstract"/>
        <w:numPr>
          <w:ilvl w:val="0"/>
          <w:numId w:val="0"/>
        </w:numPr>
        <w:spacing w:before="0" w:after="0"/>
        <w:rPr>
          <w:b w:val="0"/>
          <w:sz w:val="22"/>
          <w:szCs w:val="22"/>
        </w:rPr>
      </w:pPr>
      <w:r w:rsidRPr="00E976B0">
        <w:rPr>
          <w:b w:val="0"/>
          <w:sz w:val="22"/>
          <w:szCs w:val="22"/>
        </w:rPr>
        <w:t>References:</w:t>
      </w:r>
    </w:p>
    <w:p w14:paraId="509F4261" w14:textId="77777777" w:rsidR="00894613" w:rsidRPr="00E976B0" w:rsidRDefault="00894613" w:rsidP="00894613">
      <w:pPr>
        <w:rPr>
          <w:rFonts w:cs="Arial"/>
        </w:rPr>
      </w:pPr>
      <w:r w:rsidRPr="00E976B0">
        <w:rPr>
          <w:rFonts w:cs="Arial"/>
        </w:rPr>
        <w:t>Fricke, B., &amp; Becker, B. (2015). Q-Sync Motors in Commercial Refrigeration: Preliminary Test Results and Projected Benefits, ORNL/TM-2015/466. Oak Ridge National Laboratory.</w:t>
      </w:r>
    </w:p>
    <w:p w14:paraId="1F07C0CB" w14:textId="775E7EAF" w:rsidR="00894613" w:rsidRPr="00E976B0" w:rsidRDefault="00894613" w:rsidP="00894613">
      <w:pPr>
        <w:pStyle w:val="ListParagraph"/>
        <w:numPr>
          <w:ilvl w:val="0"/>
          <w:numId w:val="37"/>
        </w:numPr>
        <w:rPr>
          <w:rFonts w:cs="Arial"/>
        </w:rPr>
      </w:pPr>
      <w:r w:rsidRPr="00E976B0">
        <w:rPr>
          <w:rFonts w:cs="Arial"/>
        </w:rPr>
        <w:t>EM&amp;V results, market size estimations, numbers of motors per establishment, proposed measure technology description</w:t>
      </w:r>
    </w:p>
    <w:p w14:paraId="6647F4F9" w14:textId="77777777" w:rsidR="00E976B0" w:rsidRDefault="00E976B0" w:rsidP="00894613">
      <w:pPr>
        <w:rPr>
          <w:rFonts w:cs="Arial"/>
        </w:rPr>
      </w:pPr>
    </w:p>
    <w:p w14:paraId="08C26553" w14:textId="77777777" w:rsidR="00894613" w:rsidRPr="00E976B0" w:rsidRDefault="00894613" w:rsidP="00894613">
      <w:pPr>
        <w:rPr>
          <w:rFonts w:cs="Arial"/>
        </w:rPr>
      </w:pPr>
      <w:r w:rsidRPr="00E976B0">
        <w:rPr>
          <w:rFonts w:cs="Arial"/>
        </w:rPr>
        <w:t>Karas, A. (2006). GE ECM Evaporator Fan Motor Energy Monitoring. Fisher-Nickel, Inc. and Pacific Gas &amp; Electric.</w:t>
      </w:r>
    </w:p>
    <w:p w14:paraId="4F34A9A1" w14:textId="59E0F0EE" w:rsidR="00894613" w:rsidRPr="00E976B0" w:rsidRDefault="00894613" w:rsidP="00894613">
      <w:pPr>
        <w:pStyle w:val="ListParagraph"/>
        <w:numPr>
          <w:ilvl w:val="0"/>
          <w:numId w:val="37"/>
        </w:numPr>
        <w:rPr>
          <w:rFonts w:cs="Arial"/>
        </w:rPr>
      </w:pPr>
      <w:r w:rsidRPr="00E976B0">
        <w:rPr>
          <w:rFonts w:cs="Arial"/>
        </w:rPr>
        <w:t>Evidence that motors run 24/7 in most establishments</w:t>
      </w:r>
    </w:p>
    <w:p w14:paraId="645233FE" w14:textId="77777777" w:rsidR="00E976B0" w:rsidRDefault="00E976B0" w:rsidP="00894613">
      <w:pPr>
        <w:rPr>
          <w:rFonts w:cs="Arial"/>
        </w:rPr>
      </w:pPr>
    </w:p>
    <w:p w14:paraId="60E54FCC" w14:textId="77777777" w:rsidR="00EB7BE6" w:rsidRDefault="00EB7BE6" w:rsidP="00894613">
      <w:pPr>
        <w:rPr>
          <w:rFonts w:cs="Arial"/>
        </w:rPr>
      </w:pPr>
    </w:p>
    <w:p w14:paraId="6011E2C4" w14:textId="77777777" w:rsidR="00894613" w:rsidRPr="00E976B0" w:rsidRDefault="00894613" w:rsidP="00894613">
      <w:pPr>
        <w:rPr>
          <w:rFonts w:cs="Arial"/>
        </w:rPr>
      </w:pPr>
      <w:r w:rsidRPr="00E976B0">
        <w:rPr>
          <w:rFonts w:cs="Arial"/>
        </w:rPr>
        <w:lastRenderedPageBreak/>
        <w:t>NCI and PNNL. (2011). Preliminary Technical Support Document: Energy Conservation Program for Certain Commercial and Industrial Equipment: Commercial Refrigeration Equipment. Washington, D.C.: Building Technologies Program, Office of Energy Efficiency and Renewable Energy, US Department of Energy.</w:t>
      </w:r>
    </w:p>
    <w:p w14:paraId="7F2EE76C" w14:textId="3ADCE649" w:rsidR="00894613" w:rsidRPr="00E976B0" w:rsidRDefault="00894613" w:rsidP="00894613">
      <w:pPr>
        <w:pStyle w:val="ListParagraph"/>
        <w:numPr>
          <w:ilvl w:val="0"/>
          <w:numId w:val="37"/>
        </w:numPr>
        <w:rPr>
          <w:rFonts w:cs="Arial"/>
        </w:rPr>
      </w:pPr>
      <w:r w:rsidRPr="00E976B0">
        <w:rPr>
          <w:rFonts w:cs="Arial"/>
        </w:rPr>
        <w:t>Baseline motor efficiency</w:t>
      </w:r>
    </w:p>
    <w:p w14:paraId="5430091D" w14:textId="77777777" w:rsidR="00E976B0" w:rsidRDefault="00E976B0" w:rsidP="00894613">
      <w:pPr>
        <w:rPr>
          <w:rFonts w:cs="Arial"/>
        </w:rPr>
      </w:pPr>
    </w:p>
    <w:p w14:paraId="7D4CA3D6" w14:textId="77777777" w:rsidR="00894613" w:rsidRPr="00E976B0" w:rsidRDefault="00894613" w:rsidP="00894613">
      <w:pPr>
        <w:rPr>
          <w:rFonts w:cs="Arial"/>
        </w:rPr>
      </w:pPr>
      <w:r w:rsidRPr="00E976B0">
        <w:rPr>
          <w:rFonts w:cs="Arial"/>
        </w:rPr>
        <w:t>US Census Bureau. (2013). County Business Patterns (NAICS).</w:t>
      </w:r>
    </w:p>
    <w:p w14:paraId="477B42EE" w14:textId="195E3C1B" w:rsidR="00894613" w:rsidRPr="00E976B0" w:rsidRDefault="00894613" w:rsidP="00894613">
      <w:pPr>
        <w:pStyle w:val="ListParagraph"/>
        <w:numPr>
          <w:ilvl w:val="0"/>
          <w:numId w:val="37"/>
        </w:numPr>
        <w:rPr>
          <w:rFonts w:cs="Arial"/>
        </w:rPr>
      </w:pPr>
      <w:r w:rsidRPr="00E976B0">
        <w:rPr>
          <w:rFonts w:cs="Arial"/>
        </w:rPr>
        <w:t>Market size estimations</w:t>
      </w:r>
    </w:p>
    <w:p w14:paraId="0FC15B8F" w14:textId="77777777" w:rsidR="00E976B0" w:rsidRDefault="00E976B0" w:rsidP="00894613">
      <w:pPr>
        <w:rPr>
          <w:rFonts w:cs="Arial"/>
        </w:rPr>
      </w:pPr>
    </w:p>
    <w:p w14:paraId="2587B341" w14:textId="2EC85E22" w:rsidR="00894613" w:rsidRPr="00E976B0" w:rsidRDefault="00894613" w:rsidP="00894613">
      <w:pPr>
        <w:rPr>
          <w:rFonts w:cs="Arial"/>
        </w:rPr>
      </w:pPr>
      <w:r w:rsidRPr="00E976B0">
        <w:rPr>
          <w:rFonts w:cs="Arial"/>
        </w:rPr>
        <w:t xml:space="preserve">Valmiki, M M and Corradini, Antonio. (2016). Energy Savings of Permanent Magnet Synchronous </w:t>
      </w:r>
      <w:r w:rsidR="00A10CD4">
        <w:rPr>
          <w:rFonts w:cs="Arial"/>
        </w:rPr>
        <w:t xml:space="preserve">Fan </w:t>
      </w:r>
      <w:r w:rsidRPr="00E976B0">
        <w:rPr>
          <w:rFonts w:cs="Arial"/>
        </w:rPr>
        <w:t>Motor</w:t>
      </w:r>
      <w:r w:rsidR="00A10CD4">
        <w:rPr>
          <w:rFonts w:cs="Arial"/>
        </w:rPr>
        <w:t xml:space="preserve"> Assembly</w:t>
      </w:r>
      <w:r w:rsidRPr="00E976B0">
        <w:rPr>
          <w:rFonts w:cs="Arial"/>
        </w:rPr>
        <w:t xml:space="preserve"> in Refrigerated Case</w:t>
      </w:r>
      <w:r w:rsidR="00A10CD4">
        <w:rPr>
          <w:rFonts w:cs="Arial"/>
        </w:rPr>
        <w:t xml:space="preserve"> Evaporator</w:t>
      </w:r>
      <w:r w:rsidRPr="00E976B0">
        <w:rPr>
          <w:rFonts w:cs="Arial"/>
        </w:rPr>
        <w:t>s. SDG&amp;E Emerging Technologies, ET15SDG1061.</w:t>
      </w:r>
    </w:p>
    <w:p w14:paraId="4D456D6E" w14:textId="0097D780" w:rsidR="00894613" w:rsidRPr="00E976B0" w:rsidRDefault="00894613" w:rsidP="00894613">
      <w:pPr>
        <w:pStyle w:val="ListParagraph"/>
        <w:numPr>
          <w:ilvl w:val="0"/>
          <w:numId w:val="37"/>
        </w:numPr>
        <w:rPr>
          <w:rFonts w:cs="Arial"/>
        </w:rPr>
      </w:pPr>
      <w:r w:rsidRPr="00E976B0">
        <w:rPr>
          <w:rFonts w:cs="Arial"/>
        </w:rPr>
        <w:t>Energy savings calculations, EM&amp;V field study</w:t>
      </w:r>
    </w:p>
    <w:p w14:paraId="4CB837B5" w14:textId="77777777" w:rsidR="003F37E0" w:rsidRDefault="003F37E0" w:rsidP="003F37E0">
      <w:pPr>
        <w:rPr>
          <w:rFonts w:cs="Arial"/>
          <w:i/>
          <w:color w:val="FF0000"/>
        </w:rPr>
      </w:pPr>
    </w:p>
    <w:p w14:paraId="523DFC9C" w14:textId="77777777" w:rsidR="003F37E0" w:rsidRPr="008E3621" w:rsidRDefault="003F37E0" w:rsidP="00F27D7E">
      <w:pPr>
        <w:pStyle w:val="Heading1-Abstract"/>
        <w:shd w:val="clear" w:color="auto" w:fill="B8CCE4" w:themeFill="accent1" w:themeFillTint="66"/>
      </w:pPr>
      <w:r w:rsidRPr="008E3621">
        <w:t>Additional Research Needed</w:t>
      </w:r>
    </w:p>
    <w:p w14:paraId="2F10CF0E" w14:textId="761ADB33" w:rsidR="003F37E0" w:rsidRPr="00E976B0" w:rsidRDefault="00AA1C7F" w:rsidP="00EB7BE6">
      <w:pPr>
        <w:jc w:val="both"/>
        <w:rPr>
          <w:rFonts w:cs="Arial"/>
        </w:rPr>
      </w:pPr>
      <w:r>
        <w:rPr>
          <w:rFonts w:cs="Arial"/>
          <w:iCs/>
          <w:szCs w:val="22"/>
        </w:rPr>
        <w:t>ORNL and ET reports are in good agreement with very consistent results. No additional information is needed for the workpaper at this time. As suggested above, data collected during program implementation for the first year could help revise case type blend or baseline motor types, if needed.</w:t>
      </w:r>
    </w:p>
    <w:p w14:paraId="18B0136B" w14:textId="77777777" w:rsidR="002F1B33" w:rsidRPr="008E3621" w:rsidRDefault="002F1B33" w:rsidP="00EA1964">
      <w:pPr>
        <w:pStyle w:val="Heading1-Abstract"/>
        <w:shd w:val="clear" w:color="auto" w:fill="B8CCE4" w:themeFill="accent1" w:themeFillTint="66"/>
        <w:ind w:left="720" w:hanging="720"/>
      </w:pPr>
      <w:r w:rsidRPr="008E3621">
        <w:rPr>
          <w:shd w:val="clear" w:color="auto" w:fill="B8CCE4" w:themeFill="accent1" w:themeFillTint="66"/>
        </w:rPr>
        <w:t>Questions for CPUC Staff on Applicability of DEER</w:t>
      </w:r>
      <w:r w:rsidRPr="008E3621">
        <w:t xml:space="preserve"> Values, Methods, Tools, Data, Etc.</w:t>
      </w:r>
    </w:p>
    <w:p w14:paraId="4839622A" w14:textId="77777777" w:rsidR="002F1B33" w:rsidRPr="008E3621" w:rsidRDefault="002F1B33" w:rsidP="003F37E0">
      <w:pPr>
        <w:rPr>
          <w:rFonts w:cs="Arial"/>
          <w:color w:val="FF0000"/>
        </w:rPr>
      </w:pPr>
    </w:p>
    <w:p w14:paraId="5C77C05F" w14:textId="77777777" w:rsidR="00F27D7E" w:rsidRPr="008E3621" w:rsidRDefault="00F27D7E">
      <w:pPr>
        <w:rPr>
          <w:rFonts w:cs="Arial"/>
        </w:rPr>
      </w:pPr>
    </w:p>
    <w:p w14:paraId="791BD18D" w14:textId="6683B557" w:rsidR="0033595B" w:rsidRPr="008E3621" w:rsidRDefault="00E976B0" w:rsidP="00E976B0">
      <w:pPr>
        <w:tabs>
          <w:tab w:val="left" w:pos="6660"/>
        </w:tabs>
        <w:rPr>
          <w:rFonts w:cs="Arial"/>
        </w:rPr>
      </w:pPr>
      <w:r>
        <w:rPr>
          <w:rFonts w:cs="Arial"/>
        </w:rPr>
        <w:tab/>
      </w:r>
    </w:p>
    <w:p w14:paraId="3B4314A5" w14:textId="77777777" w:rsidR="00F27D7E" w:rsidRPr="008E3621" w:rsidRDefault="00F27D7E">
      <w:pPr>
        <w:rPr>
          <w:rFonts w:cs="Arial"/>
        </w:rPr>
      </w:pPr>
    </w:p>
    <w:p w14:paraId="177BD2B0" w14:textId="77777777" w:rsidR="00F27D7E" w:rsidRPr="008E3621" w:rsidRDefault="00F27D7E">
      <w:pPr>
        <w:rPr>
          <w:rFonts w:cs="Arial"/>
        </w:rPr>
      </w:pPr>
    </w:p>
    <w:p w14:paraId="044E6E20" w14:textId="77777777" w:rsidR="00F27D7E" w:rsidRPr="008E3621" w:rsidRDefault="00F27D7E">
      <w:pPr>
        <w:rPr>
          <w:rFonts w:cs="Arial"/>
        </w:rPr>
      </w:pPr>
    </w:p>
    <w:p w14:paraId="4FE38057" w14:textId="77777777" w:rsidR="00F27D7E" w:rsidRPr="008E3621" w:rsidRDefault="00F27D7E">
      <w:pPr>
        <w:rPr>
          <w:rFonts w:cs="Arial"/>
        </w:rPr>
      </w:pPr>
    </w:p>
    <w:p w14:paraId="65BF64B7" w14:textId="77777777" w:rsidR="00F27D7E" w:rsidRPr="008E3621" w:rsidRDefault="00F27D7E">
      <w:pPr>
        <w:rPr>
          <w:rFonts w:cs="Arial"/>
        </w:rPr>
      </w:pPr>
    </w:p>
    <w:p w14:paraId="7A87BBE2" w14:textId="77777777" w:rsidR="00F27D7E" w:rsidRPr="008E3621" w:rsidRDefault="00F27D7E">
      <w:pPr>
        <w:rPr>
          <w:rFonts w:cs="Arial"/>
        </w:rPr>
      </w:pPr>
    </w:p>
    <w:p w14:paraId="443FD386" w14:textId="77777777" w:rsidR="00F27D7E" w:rsidRPr="008E3621" w:rsidRDefault="00F27D7E">
      <w:pPr>
        <w:rPr>
          <w:rFonts w:cs="Arial"/>
        </w:rPr>
      </w:pPr>
    </w:p>
    <w:p w14:paraId="5FA2906C" w14:textId="77777777" w:rsidR="00F27D7E" w:rsidRPr="008E3621" w:rsidRDefault="00F27D7E">
      <w:pPr>
        <w:rPr>
          <w:rFonts w:cs="Arial"/>
        </w:rPr>
      </w:pPr>
    </w:p>
    <w:p w14:paraId="7A8B69C7" w14:textId="77777777" w:rsidR="00C25604" w:rsidRPr="008E3621" w:rsidRDefault="00C25604">
      <w:pPr>
        <w:rPr>
          <w:rFonts w:cs="Arial"/>
        </w:rPr>
      </w:pPr>
    </w:p>
    <w:p w14:paraId="516602BC" w14:textId="77777777" w:rsidR="00C25604" w:rsidRPr="008E3621" w:rsidRDefault="00C25604">
      <w:pPr>
        <w:rPr>
          <w:rFonts w:cs="Arial"/>
        </w:rPr>
      </w:pPr>
    </w:p>
    <w:p w14:paraId="5183C17C" w14:textId="77777777" w:rsidR="00C25604" w:rsidRPr="008E3621" w:rsidRDefault="00C25604">
      <w:pPr>
        <w:rPr>
          <w:rFonts w:cs="Arial"/>
        </w:rPr>
      </w:pPr>
    </w:p>
    <w:p w14:paraId="46A28E0F" w14:textId="77777777" w:rsidR="00C25604" w:rsidRPr="008E3621" w:rsidRDefault="00C25604">
      <w:pPr>
        <w:rPr>
          <w:rFonts w:cs="Arial"/>
        </w:rPr>
      </w:pPr>
    </w:p>
    <w:p w14:paraId="6530B162" w14:textId="77777777" w:rsidR="00C25604" w:rsidRPr="008E3621" w:rsidRDefault="00C25604">
      <w:pPr>
        <w:rPr>
          <w:rFonts w:cs="Arial"/>
        </w:rPr>
      </w:pPr>
    </w:p>
    <w:p w14:paraId="1811F7F0" w14:textId="77777777" w:rsidR="00C25604" w:rsidRPr="008E3621" w:rsidRDefault="00C25604">
      <w:pPr>
        <w:rPr>
          <w:rFonts w:cs="Arial"/>
        </w:rPr>
      </w:pPr>
    </w:p>
    <w:p w14:paraId="046164EB" w14:textId="77777777" w:rsidR="00C25604" w:rsidRPr="008E3621" w:rsidRDefault="00C25604">
      <w:pPr>
        <w:rPr>
          <w:rFonts w:cs="Arial"/>
        </w:rPr>
      </w:pPr>
    </w:p>
    <w:p w14:paraId="27693DBA" w14:textId="77777777" w:rsidR="00F27D7E" w:rsidRPr="008E3621" w:rsidRDefault="00F27D7E">
      <w:pPr>
        <w:rPr>
          <w:rFonts w:cs="Arial"/>
        </w:rPr>
      </w:pPr>
    </w:p>
    <w:p w14:paraId="0B71BE73" w14:textId="77777777" w:rsidR="00C25604" w:rsidRPr="008E3621" w:rsidRDefault="00C25604" w:rsidP="00C25604">
      <w:pPr>
        <w:pStyle w:val="Heading1-Abstract"/>
        <w:sectPr w:rsidR="00C25604" w:rsidRPr="008E3621">
          <w:footerReference w:type="default" r:id="rId25"/>
          <w:endnotePr>
            <w:numFmt w:val="decimal"/>
          </w:endnotePr>
          <w:pgSz w:w="12240" w:h="15840"/>
          <w:pgMar w:top="1440" w:right="1440" w:bottom="1440" w:left="1440" w:header="720" w:footer="720" w:gutter="0"/>
          <w:pgNumType w:chapStyle="1"/>
          <w:cols w:space="720"/>
          <w:docGrid w:linePitch="360"/>
        </w:sectPr>
      </w:pPr>
    </w:p>
    <w:p w14:paraId="25A3E5E5" w14:textId="77777777" w:rsidR="003F37E0" w:rsidRPr="008E3621" w:rsidRDefault="003F37E0" w:rsidP="00EA1964">
      <w:pPr>
        <w:pStyle w:val="Heading1-Abstract"/>
        <w:shd w:val="clear" w:color="auto" w:fill="D6E3BC" w:themeFill="accent3" w:themeFillTint="66"/>
      </w:pPr>
      <w:r w:rsidRPr="008E3621">
        <w:lastRenderedPageBreak/>
        <w:t xml:space="preserve">Cal TF Comments on Proposed Measure Parameter </w:t>
      </w:r>
      <w:r w:rsidR="00EA1964" w:rsidRPr="008E3621">
        <w:t xml:space="preserve">Values, Methodology, and </w:t>
      </w:r>
      <w:r w:rsidRPr="008E3621">
        <w:t>Data Sources</w:t>
      </w:r>
    </w:p>
    <w:p w14:paraId="1BB74ACD" w14:textId="77777777" w:rsidR="003F37E0" w:rsidRPr="008E3621" w:rsidRDefault="003F37E0" w:rsidP="003F37E0">
      <w:pPr>
        <w:ind w:left="90"/>
        <w:rPr>
          <w:rFonts w:cs="Arial"/>
          <w:i/>
          <w:color w:val="FF0000"/>
        </w:rPr>
      </w:pPr>
      <w:r w:rsidRPr="008E3621">
        <w:rPr>
          <w:rFonts w:cs="Arial"/>
          <w:i/>
          <w:color w:val="FF0000"/>
        </w:rPr>
        <w:t>Cal TF comments on proposed data and sources.  Do data represent best available data?  If not, what are alternate data/sources that should be considered?</w:t>
      </w:r>
    </w:p>
    <w:p w14:paraId="61BD4E52" w14:textId="77777777" w:rsidR="003F37E0" w:rsidRPr="008E3621" w:rsidRDefault="003F37E0" w:rsidP="003F37E0">
      <w:pPr>
        <w:rPr>
          <w:rFonts w:cs="Arial"/>
          <w:i/>
          <w:color w:val="FF0000"/>
        </w:rPr>
      </w:pPr>
    </w:p>
    <w:p w14:paraId="3672944E" w14:textId="77777777" w:rsidR="003F37E0" w:rsidRPr="008E3621" w:rsidRDefault="003F37E0" w:rsidP="003F37E0">
      <w:pPr>
        <w:rPr>
          <w:rFonts w:cs="Arial"/>
          <w:b/>
        </w:rPr>
      </w:pPr>
    </w:p>
    <w:p w14:paraId="64B0391E" w14:textId="194FB1C8"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sidR="00053957">
        <w:rPr>
          <w:noProof/>
        </w:rPr>
        <w:t>8</w:t>
      </w:r>
      <w:r w:rsidR="00E05C7E">
        <w:fldChar w:fldCharType="end"/>
      </w:r>
      <w:r>
        <w:t xml:space="preserve"> </w:t>
      </w:r>
      <w:r w:rsidRPr="006235E1">
        <w:rPr>
          <w:b w:val="0"/>
        </w:rPr>
        <w:t xml:space="preserve">Cal TF Comments on Measure Parameter </w:t>
      </w:r>
      <w:r w:rsidR="00637D84">
        <w:rPr>
          <w:b w:val="0"/>
        </w:rPr>
        <w:t xml:space="preserve">Methods, </w:t>
      </w:r>
      <w:r w:rsidRPr="006235E1">
        <w:rPr>
          <w:b w:val="0"/>
        </w:rPr>
        <w:t>Data</w:t>
      </w:r>
      <w:r w:rsidR="00637D84">
        <w:rPr>
          <w:b w:val="0"/>
        </w:rPr>
        <w:t>, Assumptions,</w:t>
      </w:r>
      <w:r w:rsidRPr="006235E1">
        <w:rPr>
          <w:b w:val="0"/>
        </w:rPr>
        <w:t xml:space="preserve">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637D84" w:rsidRPr="008E3621" w14:paraId="7704E180"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578C2A5C" w14:textId="77777777" w:rsidR="00637D84" w:rsidRPr="008E3621" w:rsidRDefault="00637D84" w:rsidP="00637D84">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741EBEE" w14:textId="77777777" w:rsidR="00637D84" w:rsidRPr="00637D84" w:rsidRDefault="00637D84" w:rsidP="00637D84">
            <w:pPr>
              <w:jc w:val="center"/>
              <w:rPr>
                <w:rFonts w:cs="Arial"/>
                <w:b/>
              </w:rPr>
            </w:pPr>
            <w:r w:rsidRPr="00637D84">
              <w:rPr>
                <w:rFonts w:cs="Arial"/>
                <w:b/>
              </w:rPr>
              <w:t>Cal TF Comments / Recommendations</w:t>
            </w:r>
          </w:p>
        </w:tc>
      </w:tr>
      <w:tr w:rsidR="00637D84" w:rsidRPr="008E3621" w14:paraId="485E7E7D" w14:textId="77777777">
        <w:tc>
          <w:tcPr>
            <w:tcW w:w="2022" w:type="dxa"/>
            <w:tcBorders>
              <w:top w:val="single" w:sz="24" w:space="0" w:color="4F81BD" w:themeColor="accent1"/>
            </w:tcBorders>
            <w:shd w:val="clear" w:color="auto" w:fill="auto"/>
            <w:vAlign w:val="center"/>
          </w:tcPr>
          <w:p w14:paraId="114BD5C0" w14:textId="77777777" w:rsidR="00637D84" w:rsidRPr="008E3621" w:rsidRDefault="00637D84" w:rsidP="00637D84">
            <w:pPr>
              <w:jc w:val="center"/>
              <w:rPr>
                <w:rFonts w:cs="Arial"/>
                <w:szCs w:val="22"/>
              </w:rPr>
            </w:pPr>
            <w:r w:rsidRPr="008E3621">
              <w:rPr>
                <w:rFonts w:cs="Arial"/>
                <w:szCs w:val="22"/>
              </w:rPr>
              <w:t>Baseline Energy</w:t>
            </w:r>
          </w:p>
          <w:p w14:paraId="2553F01B"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202F0EFB" w14:textId="77777777" w:rsidR="00637D84" w:rsidRPr="008E3621" w:rsidRDefault="00637D84" w:rsidP="00637D84">
            <w:pPr>
              <w:jc w:val="center"/>
              <w:rPr>
                <w:rFonts w:cs="Arial"/>
                <w:sz w:val="20"/>
                <w:szCs w:val="20"/>
              </w:rPr>
            </w:pPr>
          </w:p>
        </w:tc>
      </w:tr>
      <w:tr w:rsidR="00637D84" w:rsidRPr="008E3621" w14:paraId="6E2284E1" w14:textId="77777777">
        <w:tc>
          <w:tcPr>
            <w:tcW w:w="2022" w:type="dxa"/>
            <w:tcBorders>
              <w:bottom w:val="single" w:sz="2" w:space="0" w:color="4F81BD" w:themeColor="accent1"/>
            </w:tcBorders>
            <w:shd w:val="clear" w:color="auto" w:fill="DAEEF3" w:themeFill="accent5" w:themeFillTint="33"/>
            <w:vAlign w:val="center"/>
          </w:tcPr>
          <w:p w14:paraId="6C2749F0" w14:textId="77777777" w:rsidR="00637D84" w:rsidRPr="008E3621" w:rsidRDefault="00637D84" w:rsidP="00637D84">
            <w:pPr>
              <w:jc w:val="center"/>
              <w:rPr>
                <w:rFonts w:cs="Arial"/>
                <w:szCs w:val="22"/>
              </w:rPr>
            </w:pPr>
            <w:r w:rsidRPr="008E3621">
              <w:rPr>
                <w:rFonts w:cs="Arial"/>
                <w:szCs w:val="22"/>
              </w:rPr>
              <w:t>Measure Energy</w:t>
            </w:r>
          </w:p>
          <w:p w14:paraId="3A4C75CC"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224FE575" w14:textId="77777777" w:rsidR="00637D84" w:rsidRPr="008E3621" w:rsidRDefault="00637D84" w:rsidP="00637D84">
            <w:pPr>
              <w:jc w:val="center"/>
              <w:rPr>
                <w:rFonts w:cs="Arial"/>
                <w:sz w:val="20"/>
                <w:szCs w:val="20"/>
              </w:rPr>
            </w:pPr>
          </w:p>
        </w:tc>
      </w:tr>
      <w:tr w:rsidR="00637D84" w:rsidRPr="008E3621" w14:paraId="14F9450F"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3D50A19A" w14:textId="77777777" w:rsidR="00637D84" w:rsidRPr="008E3621" w:rsidRDefault="00637D84" w:rsidP="00637D84">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59546025" w14:textId="77777777" w:rsidR="00637D84" w:rsidRPr="008E3621" w:rsidRDefault="00637D84" w:rsidP="00637D84">
            <w:pPr>
              <w:jc w:val="center"/>
              <w:rPr>
                <w:rFonts w:cs="Arial"/>
                <w:sz w:val="20"/>
                <w:szCs w:val="20"/>
              </w:rPr>
            </w:pPr>
          </w:p>
        </w:tc>
      </w:tr>
      <w:tr w:rsidR="00637D84" w:rsidRPr="008E3621" w14:paraId="03D35060" w14:textId="77777777">
        <w:tc>
          <w:tcPr>
            <w:tcW w:w="2022" w:type="dxa"/>
            <w:tcBorders>
              <w:top w:val="single" w:sz="24" w:space="0" w:color="4F81BD" w:themeColor="accent1"/>
            </w:tcBorders>
            <w:shd w:val="clear" w:color="auto" w:fill="DAEEF3" w:themeFill="accent5" w:themeFillTint="33"/>
            <w:vAlign w:val="center"/>
          </w:tcPr>
          <w:p w14:paraId="39DB0D37" w14:textId="77777777" w:rsidR="00637D84" w:rsidRPr="008E3621" w:rsidRDefault="00637D84" w:rsidP="00637D84">
            <w:pPr>
              <w:jc w:val="center"/>
              <w:rPr>
                <w:rFonts w:cs="Arial"/>
                <w:szCs w:val="22"/>
              </w:rPr>
            </w:pPr>
            <w:r w:rsidRPr="008E3621">
              <w:rPr>
                <w:rFonts w:cs="Arial"/>
                <w:szCs w:val="22"/>
              </w:rPr>
              <w:t>Baseline Demand</w:t>
            </w:r>
          </w:p>
          <w:p w14:paraId="2396DCBC"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6D9EE565" w14:textId="77777777" w:rsidR="00637D84" w:rsidRPr="008E3621" w:rsidRDefault="00637D84" w:rsidP="00637D84">
            <w:pPr>
              <w:jc w:val="center"/>
              <w:rPr>
                <w:rFonts w:cs="Arial"/>
                <w:sz w:val="20"/>
                <w:szCs w:val="20"/>
              </w:rPr>
            </w:pPr>
          </w:p>
        </w:tc>
      </w:tr>
      <w:tr w:rsidR="00637D84" w:rsidRPr="008E3621" w14:paraId="7635654F" w14:textId="77777777">
        <w:tc>
          <w:tcPr>
            <w:tcW w:w="2022" w:type="dxa"/>
            <w:tcBorders>
              <w:bottom w:val="single" w:sz="2" w:space="0" w:color="4F81BD" w:themeColor="accent1"/>
            </w:tcBorders>
            <w:shd w:val="clear" w:color="auto" w:fill="auto"/>
            <w:vAlign w:val="center"/>
          </w:tcPr>
          <w:p w14:paraId="5CBF2FF1" w14:textId="77777777" w:rsidR="00637D84" w:rsidRPr="008E3621" w:rsidRDefault="00637D84" w:rsidP="00637D84">
            <w:pPr>
              <w:jc w:val="center"/>
              <w:rPr>
                <w:rFonts w:cs="Arial"/>
                <w:szCs w:val="22"/>
              </w:rPr>
            </w:pPr>
            <w:r w:rsidRPr="008E3621">
              <w:rPr>
                <w:rFonts w:cs="Arial"/>
                <w:szCs w:val="22"/>
              </w:rPr>
              <w:t>Measure Demand</w:t>
            </w:r>
          </w:p>
          <w:p w14:paraId="2D9F0BD1"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950D8B" w14:textId="77777777" w:rsidR="00637D84" w:rsidRPr="008E3621" w:rsidRDefault="00637D84" w:rsidP="00637D84">
            <w:pPr>
              <w:jc w:val="center"/>
              <w:rPr>
                <w:rFonts w:cs="Arial"/>
                <w:sz w:val="20"/>
                <w:szCs w:val="20"/>
              </w:rPr>
            </w:pPr>
          </w:p>
        </w:tc>
      </w:tr>
      <w:tr w:rsidR="00637D84" w:rsidRPr="008E3621" w14:paraId="38CBD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797C8367" w14:textId="77777777" w:rsidR="00637D84" w:rsidRPr="008E3621" w:rsidRDefault="00637D84"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38CA026D" w14:textId="77777777" w:rsidR="00637D84" w:rsidRPr="008E3621" w:rsidRDefault="00637D84" w:rsidP="00D8277B">
            <w:pPr>
              <w:jc w:val="center"/>
              <w:rPr>
                <w:rFonts w:cs="Arial"/>
                <w:szCs w:val="22"/>
              </w:rPr>
            </w:pPr>
          </w:p>
        </w:tc>
      </w:tr>
      <w:tr w:rsidR="00637D84" w:rsidRPr="008E3621" w14:paraId="5C97E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7F93D8B4" w14:textId="77777777" w:rsidR="00637D84" w:rsidRPr="008E3621" w:rsidRDefault="00637D84" w:rsidP="00D8277B">
            <w:pPr>
              <w:jc w:val="center"/>
              <w:rPr>
                <w:rFonts w:cs="Arial"/>
                <w:szCs w:val="22"/>
              </w:rPr>
            </w:pPr>
            <w:r w:rsidRPr="008E3621">
              <w:rPr>
                <w:rFonts w:cs="Arial"/>
                <w:szCs w:val="22"/>
              </w:rPr>
              <w:t>Baseline Energy</w:t>
            </w:r>
          </w:p>
          <w:p w14:paraId="65ED733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16AE31E" w14:textId="77777777" w:rsidR="00637D84" w:rsidRPr="008E3621" w:rsidRDefault="00637D84" w:rsidP="00D8277B">
            <w:pPr>
              <w:jc w:val="center"/>
              <w:rPr>
                <w:rFonts w:cs="Arial"/>
                <w:szCs w:val="22"/>
              </w:rPr>
            </w:pPr>
          </w:p>
        </w:tc>
      </w:tr>
      <w:tr w:rsidR="00637D84" w:rsidRPr="008E3621" w14:paraId="0C756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BAC81EC" w14:textId="77777777" w:rsidR="00637D84" w:rsidRPr="008E3621" w:rsidRDefault="00637D84" w:rsidP="00D8277B">
            <w:pPr>
              <w:jc w:val="center"/>
              <w:rPr>
                <w:rFonts w:cs="Arial"/>
                <w:szCs w:val="22"/>
              </w:rPr>
            </w:pPr>
            <w:r w:rsidRPr="008E3621">
              <w:rPr>
                <w:rFonts w:cs="Arial"/>
                <w:szCs w:val="22"/>
              </w:rPr>
              <w:t>Measure Energy</w:t>
            </w:r>
          </w:p>
          <w:p w14:paraId="3401061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26545609" w14:textId="77777777" w:rsidR="00637D84" w:rsidRPr="008E3621" w:rsidRDefault="00637D84" w:rsidP="00D8277B">
            <w:pPr>
              <w:jc w:val="center"/>
              <w:rPr>
                <w:rFonts w:cs="Arial"/>
                <w:szCs w:val="22"/>
              </w:rPr>
            </w:pPr>
          </w:p>
        </w:tc>
      </w:tr>
      <w:tr w:rsidR="00637D84" w:rsidRPr="008E3621" w14:paraId="07498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0EE60357" w14:textId="77777777" w:rsidR="00637D84" w:rsidRPr="008E3621" w:rsidRDefault="00637D84"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291AE17F" w14:textId="77777777" w:rsidR="00637D84" w:rsidRPr="008E3621" w:rsidRDefault="00637D84" w:rsidP="00D8277B">
            <w:pPr>
              <w:jc w:val="center"/>
              <w:rPr>
                <w:rFonts w:cs="Arial"/>
                <w:szCs w:val="22"/>
              </w:rPr>
            </w:pPr>
          </w:p>
        </w:tc>
      </w:tr>
      <w:tr w:rsidR="00637D84" w:rsidRPr="008E3621" w14:paraId="22267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2A5F9CCB" w14:textId="77777777" w:rsidR="00637D84" w:rsidRPr="008E3621" w:rsidRDefault="00637D84"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310EDC4F" w14:textId="77777777" w:rsidR="00637D84" w:rsidRPr="008E3621" w:rsidRDefault="00637D84" w:rsidP="00D8277B">
            <w:pPr>
              <w:jc w:val="center"/>
              <w:rPr>
                <w:rFonts w:cs="Arial"/>
                <w:szCs w:val="22"/>
              </w:rPr>
            </w:pPr>
          </w:p>
        </w:tc>
      </w:tr>
      <w:tr w:rsidR="00637D84" w:rsidRPr="008E3621" w14:paraId="640BF7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39B880B3" w14:textId="77777777" w:rsidR="00637D84" w:rsidRPr="008E3621" w:rsidRDefault="00637D84" w:rsidP="00D8277B">
            <w:pPr>
              <w:jc w:val="center"/>
              <w:rPr>
                <w:rFonts w:cs="Arial"/>
                <w:szCs w:val="22"/>
              </w:rPr>
            </w:pPr>
            <w:r w:rsidRPr="008E3621">
              <w:rPr>
                <w:rFonts w:cs="Arial"/>
                <w:szCs w:val="22"/>
              </w:rPr>
              <w:t>MC or IMC</w:t>
            </w:r>
          </w:p>
        </w:tc>
        <w:tc>
          <w:tcPr>
            <w:tcW w:w="7418" w:type="dxa"/>
            <w:shd w:val="clear" w:color="auto" w:fill="auto"/>
          </w:tcPr>
          <w:p w14:paraId="762E29F1" w14:textId="77777777" w:rsidR="00637D84" w:rsidRPr="008E3621" w:rsidRDefault="00637D84" w:rsidP="00D8277B">
            <w:pPr>
              <w:jc w:val="center"/>
              <w:rPr>
                <w:rFonts w:cs="Arial"/>
                <w:szCs w:val="22"/>
              </w:rPr>
            </w:pPr>
          </w:p>
        </w:tc>
      </w:tr>
      <w:tr w:rsidR="00637D84" w:rsidRPr="008E3621" w14:paraId="7699D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3A1D8B85" w14:textId="77777777" w:rsidR="00637D84" w:rsidRPr="008E3621" w:rsidRDefault="00637D84"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A7E33E7" w14:textId="77777777" w:rsidR="00637D84" w:rsidRPr="008E3621" w:rsidRDefault="00637D84" w:rsidP="00D8277B">
            <w:pPr>
              <w:jc w:val="center"/>
              <w:rPr>
                <w:rFonts w:cs="Arial"/>
                <w:szCs w:val="22"/>
              </w:rPr>
            </w:pPr>
          </w:p>
        </w:tc>
      </w:tr>
    </w:tbl>
    <w:p w14:paraId="07AAA562" w14:textId="77777777" w:rsidR="003F37E0" w:rsidRPr="008E3621" w:rsidRDefault="003F37E0" w:rsidP="003F37E0">
      <w:pPr>
        <w:pStyle w:val="Heading1"/>
        <w:ind w:left="630"/>
      </w:pPr>
    </w:p>
    <w:p w14:paraId="38975B45" w14:textId="77777777" w:rsidR="007237A6" w:rsidRPr="008E3621" w:rsidRDefault="007237A6" w:rsidP="007237A6">
      <w:pPr>
        <w:pStyle w:val="Heading1-Abstract"/>
        <w:shd w:val="clear" w:color="auto" w:fill="C2D69B" w:themeFill="accent3" w:themeFillTint="99"/>
      </w:pPr>
      <w:r w:rsidRPr="008E3621">
        <w:t>Cal TF Comments on Proposed Level of Complexity</w:t>
      </w:r>
    </w:p>
    <w:p w14:paraId="21954886" w14:textId="77777777" w:rsidR="007237A6" w:rsidRDefault="007237A6" w:rsidP="007237A6">
      <w:pPr>
        <w:rPr>
          <w:rFonts w:cs="Arial"/>
          <w:i/>
          <w:color w:val="FF0000"/>
        </w:rPr>
      </w:pPr>
      <w:r w:rsidRPr="008E3621">
        <w:rPr>
          <w:rFonts w:cs="Arial"/>
          <w:i/>
          <w:color w:val="FF0000"/>
        </w:rPr>
        <w:t>Cal TF comments on proposed level of complexity based on input from abstract developer and Cal TF discussion.</w:t>
      </w:r>
    </w:p>
    <w:p w14:paraId="770C0A14" w14:textId="77777777" w:rsidR="00637D84" w:rsidRDefault="00637D84" w:rsidP="007237A6">
      <w:pPr>
        <w:rPr>
          <w:rFonts w:cs="Arial"/>
          <w:i/>
          <w:color w:val="FF0000"/>
        </w:rPr>
      </w:pPr>
    </w:p>
    <w:p w14:paraId="23EB9375" w14:textId="77777777" w:rsidR="00637D84" w:rsidRPr="00637D84" w:rsidRDefault="00637D84" w:rsidP="00D8277B">
      <w:pPr>
        <w:pStyle w:val="Heading1-Abstract"/>
        <w:shd w:val="clear" w:color="auto" w:fill="C2D69B" w:themeFill="accent3" w:themeFillTint="99"/>
        <w:sectPr w:rsidR="00637D84" w:rsidRPr="00637D84">
          <w:headerReference w:type="default" r:id="rId26"/>
          <w:endnotePr>
            <w:numFmt w:val="decimal"/>
          </w:endnotePr>
          <w:pgSz w:w="12240" w:h="15840"/>
          <w:pgMar w:top="1440" w:right="1440" w:bottom="1440" w:left="1440" w:header="720" w:footer="720" w:gutter="0"/>
          <w:pgNumType w:chapStyle="1"/>
          <w:cols w:space="720"/>
          <w:docGrid w:linePitch="360"/>
        </w:sectPr>
      </w:pPr>
      <w:r>
        <w:t xml:space="preserve">Other </w:t>
      </w:r>
      <w:r w:rsidRPr="00637D84">
        <w:t xml:space="preserve">Cal TF Comments </w:t>
      </w:r>
    </w:p>
    <w:p w14:paraId="1F84C274" w14:textId="77777777" w:rsidR="003F37E0" w:rsidRPr="008E3621" w:rsidRDefault="003F37E0" w:rsidP="00C25604">
      <w:pPr>
        <w:pStyle w:val="Heading1-Abstract"/>
        <w:shd w:val="clear" w:color="auto" w:fill="C2D69B" w:themeFill="accent3" w:themeFillTint="99"/>
      </w:pPr>
      <w:r w:rsidRPr="008E3621">
        <w:lastRenderedPageBreak/>
        <w:t>Commission Staff Review and Feedback</w:t>
      </w:r>
    </w:p>
    <w:p w14:paraId="4324928A" w14:textId="77777777" w:rsidR="003F37E0" w:rsidRPr="008E3621" w:rsidRDefault="003F37E0" w:rsidP="003F37E0">
      <w:pPr>
        <w:spacing w:after="60"/>
        <w:rPr>
          <w:rFonts w:cs="Arial"/>
          <w:i/>
          <w:iCs/>
          <w:color w:val="FF0000"/>
          <w:szCs w:val="22"/>
        </w:rPr>
      </w:pPr>
      <w:r w:rsidRPr="008E3621">
        <w:rPr>
          <w:rFonts w:cs="Arial"/>
          <w:i/>
          <w:iCs/>
          <w:color w:val="FF0000"/>
          <w:szCs w:val="22"/>
        </w:rPr>
        <w:t>Commission staff should provide feedback on proposed data and sources within 10 days of request.</w:t>
      </w:r>
    </w:p>
    <w:p w14:paraId="6D168D06" w14:textId="77777777" w:rsidR="003F37E0" w:rsidRPr="008E3621" w:rsidRDefault="003F37E0" w:rsidP="003F37E0">
      <w:pPr>
        <w:spacing w:after="60"/>
        <w:rPr>
          <w:rFonts w:cs="Arial"/>
          <w:b/>
        </w:rPr>
      </w:pPr>
    </w:p>
    <w:p w14:paraId="152D17AB" w14:textId="5FD61EBD"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sidR="00053957">
        <w:rPr>
          <w:noProof/>
        </w:rPr>
        <w:t>9</w:t>
      </w:r>
      <w:r w:rsidR="00E05C7E">
        <w:fldChar w:fldCharType="end"/>
      </w:r>
      <w:r w:rsidRPr="00F37BC2">
        <w:rPr>
          <w:b w:val="0"/>
        </w:rPr>
        <w:t xml:space="preserve"> Commission Staff Feedback on Proposed Data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57032C" w:rsidRPr="008E3621" w14:paraId="22A523C8"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7DF1B197" w14:textId="77777777" w:rsidR="0057032C" w:rsidRPr="008E3621" w:rsidRDefault="0057032C" w:rsidP="00D8277B">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C36F015" w14:textId="77777777" w:rsidR="0057032C" w:rsidRPr="00637D84" w:rsidRDefault="0057032C" w:rsidP="00D8277B">
            <w:pPr>
              <w:jc w:val="center"/>
              <w:rPr>
                <w:rFonts w:cs="Arial"/>
                <w:b/>
              </w:rPr>
            </w:pPr>
            <w:r>
              <w:rPr>
                <w:rFonts w:cs="Arial"/>
                <w:b/>
              </w:rPr>
              <w:t>Commission Staff</w:t>
            </w:r>
            <w:r w:rsidRPr="00637D84">
              <w:rPr>
                <w:rFonts w:cs="Arial"/>
                <w:b/>
              </w:rPr>
              <w:t xml:space="preserve"> Comments / Recommendations</w:t>
            </w:r>
          </w:p>
        </w:tc>
      </w:tr>
      <w:tr w:rsidR="0057032C" w:rsidRPr="008E3621" w14:paraId="40461A1B" w14:textId="77777777">
        <w:tc>
          <w:tcPr>
            <w:tcW w:w="2022" w:type="dxa"/>
            <w:tcBorders>
              <w:top w:val="single" w:sz="24" w:space="0" w:color="4F81BD" w:themeColor="accent1"/>
            </w:tcBorders>
            <w:shd w:val="clear" w:color="auto" w:fill="auto"/>
            <w:vAlign w:val="center"/>
          </w:tcPr>
          <w:p w14:paraId="345A7471" w14:textId="77777777" w:rsidR="0057032C" w:rsidRPr="008E3621" w:rsidRDefault="0057032C" w:rsidP="00D8277B">
            <w:pPr>
              <w:jc w:val="center"/>
              <w:rPr>
                <w:rFonts w:cs="Arial"/>
                <w:szCs w:val="22"/>
              </w:rPr>
            </w:pPr>
            <w:r w:rsidRPr="008E3621">
              <w:rPr>
                <w:rFonts w:cs="Arial"/>
                <w:szCs w:val="22"/>
              </w:rPr>
              <w:t>Baseline Energy</w:t>
            </w:r>
          </w:p>
          <w:p w14:paraId="0D31E327"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4DE40950" w14:textId="77777777" w:rsidR="0057032C" w:rsidRPr="008E3621" w:rsidRDefault="0057032C" w:rsidP="00D8277B">
            <w:pPr>
              <w:jc w:val="center"/>
              <w:rPr>
                <w:rFonts w:cs="Arial"/>
                <w:sz w:val="20"/>
                <w:szCs w:val="20"/>
              </w:rPr>
            </w:pPr>
          </w:p>
        </w:tc>
      </w:tr>
      <w:tr w:rsidR="0057032C" w:rsidRPr="008E3621" w14:paraId="4816D66E" w14:textId="77777777">
        <w:tc>
          <w:tcPr>
            <w:tcW w:w="2022" w:type="dxa"/>
            <w:tcBorders>
              <w:bottom w:val="single" w:sz="2" w:space="0" w:color="4F81BD" w:themeColor="accent1"/>
            </w:tcBorders>
            <w:shd w:val="clear" w:color="auto" w:fill="DAEEF3" w:themeFill="accent5" w:themeFillTint="33"/>
            <w:vAlign w:val="center"/>
          </w:tcPr>
          <w:p w14:paraId="5C6441B1" w14:textId="77777777" w:rsidR="0057032C" w:rsidRPr="008E3621" w:rsidRDefault="0057032C" w:rsidP="00D8277B">
            <w:pPr>
              <w:jc w:val="center"/>
              <w:rPr>
                <w:rFonts w:cs="Arial"/>
                <w:szCs w:val="22"/>
              </w:rPr>
            </w:pPr>
            <w:r w:rsidRPr="008E3621">
              <w:rPr>
                <w:rFonts w:cs="Arial"/>
                <w:szCs w:val="22"/>
              </w:rPr>
              <w:t>Measure Energy</w:t>
            </w:r>
          </w:p>
          <w:p w14:paraId="0D3912DF"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6195BA3E" w14:textId="77777777" w:rsidR="0057032C" w:rsidRPr="008E3621" w:rsidRDefault="0057032C" w:rsidP="00D8277B">
            <w:pPr>
              <w:jc w:val="center"/>
              <w:rPr>
                <w:rFonts w:cs="Arial"/>
                <w:sz w:val="20"/>
                <w:szCs w:val="20"/>
              </w:rPr>
            </w:pPr>
          </w:p>
        </w:tc>
      </w:tr>
      <w:tr w:rsidR="0057032C" w:rsidRPr="008E3621" w14:paraId="2B548A34"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2F2D281B" w14:textId="77777777" w:rsidR="0057032C" w:rsidRPr="008E3621" w:rsidRDefault="0057032C" w:rsidP="00D8277B">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72686E18" w14:textId="77777777" w:rsidR="0057032C" w:rsidRPr="008E3621" w:rsidRDefault="0057032C" w:rsidP="00D8277B">
            <w:pPr>
              <w:jc w:val="center"/>
              <w:rPr>
                <w:rFonts w:cs="Arial"/>
                <w:sz w:val="20"/>
                <w:szCs w:val="20"/>
              </w:rPr>
            </w:pPr>
          </w:p>
        </w:tc>
      </w:tr>
      <w:tr w:rsidR="0057032C" w:rsidRPr="008E3621" w14:paraId="57C8F11F" w14:textId="77777777">
        <w:tc>
          <w:tcPr>
            <w:tcW w:w="2022" w:type="dxa"/>
            <w:tcBorders>
              <w:top w:val="single" w:sz="24" w:space="0" w:color="4F81BD" w:themeColor="accent1"/>
            </w:tcBorders>
            <w:shd w:val="clear" w:color="auto" w:fill="DAEEF3" w:themeFill="accent5" w:themeFillTint="33"/>
            <w:vAlign w:val="center"/>
          </w:tcPr>
          <w:p w14:paraId="6546AD8D" w14:textId="77777777" w:rsidR="0057032C" w:rsidRPr="008E3621" w:rsidRDefault="0057032C" w:rsidP="00D8277B">
            <w:pPr>
              <w:jc w:val="center"/>
              <w:rPr>
                <w:rFonts w:cs="Arial"/>
                <w:szCs w:val="22"/>
              </w:rPr>
            </w:pPr>
            <w:r w:rsidRPr="008E3621">
              <w:rPr>
                <w:rFonts w:cs="Arial"/>
                <w:szCs w:val="22"/>
              </w:rPr>
              <w:t>Baseline Demand</w:t>
            </w:r>
          </w:p>
          <w:p w14:paraId="637CF10F"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4B38A96F" w14:textId="77777777" w:rsidR="0057032C" w:rsidRPr="008E3621" w:rsidRDefault="0057032C" w:rsidP="00D8277B">
            <w:pPr>
              <w:jc w:val="center"/>
              <w:rPr>
                <w:rFonts w:cs="Arial"/>
                <w:sz w:val="20"/>
                <w:szCs w:val="20"/>
              </w:rPr>
            </w:pPr>
          </w:p>
        </w:tc>
      </w:tr>
      <w:tr w:rsidR="0057032C" w:rsidRPr="008E3621" w14:paraId="4BFF3995" w14:textId="77777777">
        <w:tc>
          <w:tcPr>
            <w:tcW w:w="2022" w:type="dxa"/>
            <w:tcBorders>
              <w:bottom w:val="single" w:sz="2" w:space="0" w:color="4F81BD" w:themeColor="accent1"/>
            </w:tcBorders>
            <w:shd w:val="clear" w:color="auto" w:fill="auto"/>
            <w:vAlign w:val="center"/>
          </w:tcPr>
          <w:p w14:paraId="52D71E62" w14:textId="77777777" w:rsidR="0057032C" w:rsidRPr="008E3621" w:rsidRDefault="0057032C" w:rsidP="00D8277B">
            <w:pPr>
              <w:jc w:val="center"/>
              <w:rPr>
                <w:rFonts w:cs="Arial"/>
                <w:szCs w:val="22"/>
              </w:rPr>
            </w:pPr>
            <w:r w:rsidRPr="008E3621">
              <w:rPr>
                <w:rFonts w:cs="Arial"/>
                <w:szCs w:val="22"/>
              </w:rPr>
              <w:t>Measure Demand</w:t>
            </w:r>
          </w:p>
          <w:p w14:paraId="21B57390"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1F2C9C" w14:textId="77777777" w:rsidR="0057032C" w:rsidRPr="008E3621" w:rsidRDefault="0057032C" w:rsidP="00D8277B">
            <w:pPr>
              <w:jc w:val="center"/>
              <w:rPr>
                <w:rFonts w:cs="Arial"/>
                <w:sz w:val="20"/>
                <w:szCs w:val="20"/>
              </w:rPr>
            </w:pPr>
          </w:p>
        </w:tc>
      </w:tr>
      <w:tr w:rsidR="0057032C" w:rsidRPr="008E3621" w14:paraId="4DF17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1950EBF6" w14:textId="77777777" w:rsidR="0057032C" w:rsidRPr="008E3621" w:rsidRDefault="0057032C"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5079063F" w14:textId="77777777" w:rsidR="0057032C" w:rsidRPr="008E3621" w:rsidRDefault="0057032C" w:rsidP="00D8277B">
            <w:pPr>
              <w:jc w:val="center"/>
              <w:rPr>
                <w:rFonts w:cs="Arial"/>
                <w:szCs w:val="22"/>
              </w:rPr>
            </w:pPr>
          </w:p>
        </w:tc>
      </w:tr>
      <w:tr w:rsidR="0057032C" w:rsidRPr="008E3621" w14:paraId="19B4C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444102C7" w14:textId="77777777" w:rsidR="0057032C" w:rsidRPr="008E3621" w:rsidRDefault="0057032C" w:rsidP="00D8277B">
            <w:pPr>
              <w:jc w:val="center"/>
              <w:rPr>
                <w:rFonts w:cs="Arial"/>
                <w:szCs w:val="22"/>
              </w:rPr>
            </w:pPr>
            <w:r w:rsidRPr="008E3621">
              <w:rPr>
                <w:rFonts w:cs="Arial"/>
                <w:szCs w:val="22"/>
              </w:rPr>
              <w:t>Baseline Energy</w:t>
            </w:r>
          </w:p>
          <w:p w14:paraId="0D145773" w14:textId="77777777" w:rsidR="0057032C" w:rsidRPr="008E3621" w:rsidRDefault="0057032C"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06B915F" w14:textId="77777777" w:rsidR="0057032C" w:rsidRPr="008E3621" w:rsidRDefault="0057032C" w:rsidP="00D8277B">
            <w:pPr>
              <w:jc w:val="center"/>
              <w:rPr>
                <w:rFonts w:cs="Arial"/>
                <w:szCs w:val="22"/>
              </w:rPr>
            </w:pPr>
          </w:p>
        </w:tc>
      </w:tr>
      <w:tr w:rsidR="0057032C" w:rsidRPr="008E3621" w14:paraId="71938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6F66286" w14:textId="77777777" w:rsidR="0057032C" w:rsidRPr="008E3621" w:rsidRDefault="0057032C" w:rsidP="00D8277B">
            <w:pPr>
              <w:jc w:val="center"/>
              <w:rPr>
                <w:rFonts w:cs="Arial"/>
                <w:szCs w:val="22"/>
              </w:rPr>
            </w:pPr>
            <w:r w:rsidRPr="008E3621">
              <w:rPr>
                <w:rFonts w:cs="Arial"/>
                <w:szCs w:val="22"/>
              </w:rPr>
              <w:t>Measure Energy</w:t>
            </w:r>
          </w:p>
          <w:p w14:paraId="752E7A21" w14:textId="77777777" w:rsidR="0057032C" w:rsidRPr="008E3621" w:rsidRDefault="0057032C"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131040D2" w14:textId="77777777" w:rsidR="0057032C" w:rsidRPr="008E3621" w:rsidRDefault="0057032C" w:rsidP="00D8277B">
            <w:pPr>
              <w:jc w:val="center"/>
              <w:rPr>
                <w:rFonts w:cs="Arial"/>
                <w:szCs w:val="22"/>
              </w:rPr>
            </w:pPr>
          </w:p>
        </w:tc>
      </w:tr>
      <w:tr w:rsidR="0057032C" w:rsidRPr="008E3621" w14:paraId="4F043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43266702" w14:textId="77777777" w:rsidR="0057032C" w:rsidRPr="008E3621" w:rsidRDefault="0057032C"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334A935D" w14:textId="77777777" w:rsidR="0057032C" w:rsidRPr="008E3621" w:rsidRDefault="0057032C" w:rsidP="00D8277B">
            <w:pPr>
              <w:jc w:val="center"/>
              <w:rPr>
                <w:rFonts w:cs="Arial"/>
                <w:szCs w:val="22"/>
              </w:rPr>
            </w:pPr>
          </w:p>
        </w:tc>
      </w:tr>
      <w:tr w:rsidR="0057032C" w:rsidRPr="008E3621" w14:paraId="327AA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6FA1D218" w14:textId="77777777" w:rsidR="0057032C" w:rsidRPr="008E3621" w:rsidRDefault="0057032C"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2E05E04D" w14:textId="77777777" w:rsidR="0057032C" w:rsidRPr="008E3621" w:rsidRDefault="0057032C" w:rsidP="00D8277B">
            <w:pPr>
              <w:jc w:val="center"/>
              <w:rPr>
                <w:rFonts w:cs="Arial"/>
                <w:szCs w:val="22"/>
              </w:rPr>
            </w:pPr>
          </w:p>
        </w:tc>
      </w:tr>
      <w:tr w:rsidR="0057032C" w:rsidRPr="008E3621" w14:paraId="1CF213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276F7A00" w14:textId="77777777" w:rsidR="0057032C" w:rsidRPr="008E3621" w:rsidRDefault="0057032C" w:rsidP="00D8277B">
            <w:pPr>
              <w:jc w:val="center"/>
              <w:rPr>
                <w:rFonts w:cs="Arial"/>
                <w:szCs w:val="22"/>
              </w:rPr>
            </w:pPr>
            <w:r w:rsidRPr="008E3621">
              <w:rPr>
                <w:rFonts w:cs="Arial"/>
                <w:szCs w:val="22"/>
              </w:rPr>
              <w:t>MC or IMC</w:t>
            </w:r>
          </w:p>
        </w:tc>
        <w:tc>
          <w:tcPr>
            <w:tcW w:w="7418" w:type="dxa"/>
            <w:shd w:val="clear" w:color="auto" w:fill="auto"/>
          </w:tcPr>
          <w:p w14:paraId="7AA8131C" w14:textId="77777777" w:rsidR="0057032C" w:rsidRPr="008E3621" w:rsidRDefault="0057032C" w:rsidP="00D8277B">
            <w:pPr>
              <w:jc w:val="center"/>
              <w:rPr>
                <w:rFonts w:cs="Arial"/>
                <w:szCs w:val="22"/>
              </w:rPr>
            </w:pPr>
          </w:p>
        </w:tc>
      </w:tr>
      <w:tr w:rsidR="0057032C" w:rsidRPr="008E3621" w14:paraId="704D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0DE133C4" w14:textId="77777777" w:rsidR="0057032C" w:rsidRPr="008E3621" w:rsidRDefault="0057032C"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38BABE4" w14:textId="77777777" w:rsidR="0057032C" w:rsidRPr="008E3621" w:rsidRDefault="0057032C" w:rsidP="00D8277B">
            <w:pPr>
              <w:jc w:val="center"/>
              <w:rPr>
                <w:rFonts w:cs="Arial"/>
                <w:szCs w:val="22"/>
              </w:rPr>
            </w:pPr>
          </w:p>
        </w:tc>
      </w:tr>
    </w:tbl>
    <w:p w14:paraId="7A8E2FEB" w14:textId="77777777" w:rsidR="00D767BD" w:rsidRPr="008E3621" w:rsidRDefault="00D767BD">
      <w:pPr>
        <w:rPr>
          <w:rFonts w:cs="Arial"/>
          <w:b/>
          <w:bCs/>
          <w:kern w:val="32"/>
          <w:sz w:val="32"/>
          <w:szCs w:val="32"/>
        </w:rPr>
      </w:pPr>
    </w:p>
    <w:p w14:paraId="3BD14D45" w14:textId="77777777" w:rsidR="002F1BAF" w:rsidRPr="008E3621" w:rsidRDefault="002F1BAF" w:rsidP="00BB22C2">
      <w:pPr>
        <w:pStyle w:val="Heading1"/>
      </w:pPr>
    </w:p>
    <w:p w14:paraId="678E367E" w14:textId="77777777" w:rsidR="002F1BAF" w:rsidRPr="008E3621" w:rsidRDefault="002F1BAF" w:rsidP="002F1BAF">
      <w:pPr>
        <w:rPr>
          <w:rFonts w:cs="Arial"/>
        </w:rPr>
      </w:pPr>
    </w:p>
    <w:p w14:paraId="55CD653A" w14:textId="77777777" w:rsidR="002F1BAF" w:rsidRPr="008E3621" w:rsidRDefault="002F1BAF" w:rsidP="002F1BAF">
      <w:pPr>
        <w:rPr>
          <w:rFonts w:cs="Arial"/>
        </w:rPr>
      </w:pPr>
    </w:p>
    <w:p w14:paraId="43B139A9" w14:textId="77777777" w:rsidR="002F1BAF" w:rsidRPr="008E3621" w:rsidRDefault="002F1BAF" w:rsidP="002F1BAF">
      <w:pPr>
        <w:rPr>
          <w:rFonts w:cs="Arial"/>
        </w:rPr>
      </w:pPr>
    </w:p>
    <w:p w14:paraId="00FDEF33" w14:textId="77777777" w:rsidR="002F1BAF" w:rsidRPr="008E3621" w:rsidRDefault="002F1BAF" w:rsidP="002F1BAF">
      <w:pPr>
        <w:rPr>
          <w:rFonts w:cs="Arial"/>
        </w:rPr>
      </w:pPr>
    </w:p>
    <w:p w14:paraId="28CE3319" w14:textId="77777777" w:rsidR="002F1BAF" w:rsidRPr="008E3621" w:rsidRDefault="002F1BAF" w:rsidP="002F1BAF">
      <w:pPr>
        <w:rPr>
          <w:rFonts w:cs="Arial"/>
        </w:rPr>
      </w:pPr>
    </w:p>
    <w:p w14:paraId="098B0913" w14:textId="77777777" w:rsidR="002F1BAF" w:rsidRPr="008E3621" w:rsidRDefault="002F1BAF" w:rsidP="002F1BAF">
      <w:pPr>
        <w:rPr>
          <w:rFonts w:cs="Arial"/>
        </w:rPr>
      </w:pPr>
    </w:p>
    <w:p w14:paraId="35E7C55A" w14:textId="77777777" w:rsidR="002F1BAF" w:rsidRPr="008E3621" w:rsidRDefault="002F1BAF" w:rsidP="002F1BAF">
      <w:pPr>
        <w:rPr>
          <w:rFonts w:cs="Arial"/>
        </w:rPr>
      </w:pPr>
    </w:p>
    <w:p w14:paraId="178AECAB" w14:textId="77777777" w:rsidR="002F1BAF" w:rsidRPr="008E3621" w:rsidRDefault="002F1BAF" w:rsidP="002F1BAF">
      <w:pPr>
        <w:rPr>
          <w:rFonts w:cs="Arial"/>
        </w:rPr>
      </w:pPr>
    </w:p>
    <w:p w14:paraId="47A62B8C" w14:textId="77777777" w:rsidR="002F1BAF" w:rsidRPr="008E3621" w:rsidRDefault="002F1BAF" w:rsidP="002F1BAF">
      <w:pPr>
        <w:rPr>
          <w:rFonts w:cs="Arial"/>
        </w:rPr>
      </w:pPr>
    </w:p>
    <w:p w14:paraId="4CE16204" w14:textId="77777777" w:rsidR="002F1BAF" w:rsidRPr="008E3621" w:rsidRDefault="002F1BAF" w:rsidP="002F1BAF">
      <w:pPr>
        <w:rPr>
          <w:rFonts w:cs="Arial"/>
        </w:rPr>
      </w:pPr>
    </w:p>
    <w:p w14:paraId="7D7A0A37" w14:textId="77777777" w:rsidR="002F1BAF" w:rsidRPr="008E3621" w:rsidRDefault="002F1BAF" w:rsidP="002F1BAF">
      <w:pPr>
        <w:rPr>
          <w:rFonts w:cs="Arial"/>
        </w:rPr>
      </w:pPr>
    </w:p>
    <w:p w14:paraId="4DE6ED38" w14:textId="77777777" w:rsidR="00C25604" w:rsidRPr="008E3621" w:rsidRDefault="00C25604" w:rsidP="002F1BAF">
      <w:pPr>
        <w:tabs>
          <w:tab w:val="left" w:pos="8558"/>
        </w:tabs>
        <w:rPr>
          <w:rFonts w:cs="Arial"/>
        </w:rPr>
        <w:sectPr w:rsidR="00C25604" w:rsidRPr="008E3621">
          <w:endnotePr>
            <w:numFmt w:val="decimal"/>
          </w:endnotePr>
          <w:pgSz w:w="12240" w:h="15840"/>
          <w:pgMar w:top="1440" w:right="1440" w:bottom="1440" w:left="1440" w:header="720" w:footer="720" w:gutter="0"/>
          <w:pgNumType w:chapStyle="1"/>
          <w:cols w:space="720"/>
          <w:docGrid w:linePitch="360"/>
        </w:sectPr>
      </w:pPr>
    </w:p>
    <w:p w14:paraId="2F276652" w14:textId="77777777" w:rsidR="00C50534" w:rsidRPr="008E3621" w:rsidRDefault="00BB22C2" w:rsidP="00C25604">
      <w:pPr>
        <w:pStyle w:val="Heading1"/>
        <w:shd w:val="clear" w:color="auto" w:fill="B8CCE4" w:themeFill="accent1" w:themeFillTint="66"/>
      </w:pPr>
      <w:r w:rsidRPr="008E3621">
        <w:lastRenderedPageBreak/>
        <w:t>Appendix A – Sources</w:t>
      </w:r>
    </w:p>
    <w:p w14:paraId="14E41550" w14:textId="77777777" w:rsidR="00E976B0" w:rsidRDefault="00E976B0" w:rsidP="00BB22C2">
      <w:pPr>
        <w:rPr>
          <w:rFonts w:cs="Arial"/>
          <w:color w:val="FF0000"/>
        </w:rPr>
      </w:pPr>
    </w:p>
    <w:p w14:paraId="158D1DA0" w14:textId="3B6B802A" w:rsidR="00C25604" w:rsidRDefault="00E976B0" w:rsidP="00BB22C2">
      <w:pPr>
        <w:rPr>
          <w:rFonts w:cs="Arial"/>
          <w:color w:val="FF0000"/>
        </w:rPr>
      </w:pPr>
      <w:r w:rsidRPr="00E976B0">
        <w:rPr>
          <w:rFonts w:cs="Arial"/>
        </w:rPr>
        <w:t>Primary Source:</w:t>
      </w:r>
      <w:r>
        <w:rPr>
          <w:rFonts w:cs="Arial"/>
          <w:color w:val="FF0000"/>
        </w:rPr>
        <w:t xml:space="preserve"> </w:t>
      </w:r>
      <w:hyperlink r:id="rId27" w:history="1">
        <w:r w:rsidRPr="00E976B0">
          <w:rPr>
            <w:rStyle w:val="Hyperlink"/>
            <w:rFonts w:cs="Arial"/>
          </w:rPr>
          <w:t>ETCC Report</w:t>
        </w:r>
      </w:hyperlink>
      <w:r>
        <w:rPr>
          <w:rFonts w:cs="Arial"/>
          <w:color w:val="FF0000"/>
        </w:rPr>
        <w:t xml:space="preserve"> </w:t>
      </w:r>
      <w:r w:rsidRPr="00E976B0">
        <w:rPr>
          <w:rFonts w:cs="Arial"/>
        </w:rPr>
        <w:t>(Calculations and M&amp;V analysis can be provided on request)</w:t>
      </w:r>
    </w:p>
    <w:p w14:paraId="6213BA6A" w14:textId="77777777" w:rsidR="00E976B0" w:rsidRDefault="00E976B0" w:rsidP="00BB22C2">
      <w:pPr>
        <w:rPr>
          <w:rFonts w:cs="Arial"/>
          <w:color w:val="FF0000"/>
        </w:rPr>
      </w:pPr>
    </w:p>
    <w:p w14:paraId="563B01F8" w14:textId="571110DB" w:rsidR="00E976B0" w:rsidRPr="008E3621" w:rsidRDefault="00E976B0" w:rsidP="00BB22C2">
      <w:pPr>
        <w:rPr>
          <w:rFonts w:cs="Arial"/>
          <w:color w:val="FF0000"/>
        </w:rPr>
      </w:pPr>
      <w:r w:rsidRPr="00E976B0">
        <w:rPr>
          <w:rFonts w:cs="Arial"/>
        </w:rPr>
        <w:t>Secondary Source:</w:t>
      </w:r>
      <w:r>
        <w:rPr>
          <w:rFonts w:cs="Arial"/>
          <w:color w:val="FF0000"/>
        </w:rPr>
        <w:t xml:space="preserve"> </w:t>
      </w:r>
      <w:hyperlink r:id="rId28" w:history="1">
        <w:r w:rsidRPr="00E976B0">
          <w:rPr>
            <w:rStyle w:val="Hyperlink"/>
            <w:rFonts w:cs="Arial"/>
          </w:rPr>
          <w:t>ONRL Report</w:t>
        </w:r>
      </w:hyperlink>
    </w:p>
    <w:p w14:paraId="61B641B0" w14:textId="77777777" w:rsidR="00C25604" w:rsidRPr="008E3621" w:rsidRDefault="00C25604" w:rsidP="00C25604">
      <w:pPr>
        <w:rPr>
          <w:rFonts w:cs="Arial"/>
        </w:rPr>
      </w:pPr>
    </w:p>
    <w:p w14:paraId="2802F07B" w14:textId="77777777" w:rsidR="00C25604" w:rsidRPr="008E3621" w:rsidRDefault="00C25604" w:rsidP="00C25604">
      <w:pPr>
        <w:rPr>
          <w:rFonts w:cs="Arial"/>
        </w:rPr>
      </w:pPr>
    </w:p>
    <w:p w14:paraId="13D0559C" w14:textId="6B3ACAF4" w:rsidR="00E976B0" w:rsidRDefault="00C25604" w:rsidP="00C25604">
      <w:pPr>
        <w:tabs>
          <w:tab w:val="left" w:pos="6860"/>
        </w:tabs>
        <w:rPr>
          <w:rFonts w:cs="Arial"/>
        </w:rPr>
      </w:pPr>
      <w:r w:rsidRPr="008E3621">
        <w:rPr>
          <w:rFonts w:cs="Arial"/>
        </w:rPr>
        <w:tab/>
      </w:r>
    </w:p>
    <w:p w14:paraId="2295ED33" w14:textId="77777777" w:rsidR="00E976B0" w:rsidRPr="00E976B0" w:rsidRDefault="00E976B0" w:rsidP="00E976B0">
      <w:pPr>
        <w:rPr>
          <w:rFonts w:cs="Arial"/>
        </w:rPr>
      </w:pPr>
    </w:p>
    <w:p w14:paraId="21172634" w14:textId="77777777" w:rsidR="00E976B0" w:rsidRPr="00E976B0" w:rsidRDefault="00E976B0" w:rsidP="00E976B0">
      <w:pPr>
        <w:rPr>
          <w:rFonts w:cs="Arial"/>
        </w:rPr>
      </w:pPr>
    </w:p>
    <w:p w14:paraId="683C46AA" w14:textId="77777777" w:rsidR="00E976B0" w:rsidRPr="00E976B0" w:rsidRDefault="00E976B0" w:rsidP="00E976B0">
      <w:pPr>
        <w:rPr>
          <w:rFonts w:cs="Arial"/>
        </w:rPr>
      </w:pPr>
    </w:p>
    <w:p w14:paraId="3B6844FA" w14:textId="77777777" w:rsidR="00E976B0" w:rsidRPr="00E976B0" w:rsidRDefault="00E976B0" w:rsidP="00E976B0">
      <w:pPr>
        <w:rPr>
          <w:rFonts w:cs="Arial"/>
        </w:rPr>
      </w:pPr>
    </w:p>
    <w:p w14:paraId="4D64AFD4" w14:textId="77777777" w:rsidR="00E976B0" w:rsidRPr="00E976B0" w:rsidRDefault="00E976B0" w:rsidP="00E976B0">
      <w:pPr>
        <w:rPr>
          <w:rFonts w:cs="Arial"/>
        </w:rPr>
      </w:pPr>
    </w:p>
    <w:p w14:paraId="437C3737" w14:textId="77777777" w:rsidR="00E976B0" w:rsidRPr="00E976B0" w:rsidRDefault="00E976B0" w:rsidP="00E976B0">
      <w:pPr>
        <w:rPr>
          <w:rFonts w:cs="Arial"/>
        </w:rPr>
      </w:pPr>
    </w:p>
    <w:p w14:paraId="4C2B61ED" w14:textId="77777777" w:rsidR="00E976B0" w:rsidRPr="00E976B0" w:rsidRDefault="00E976B0" w:rsidP="00E976B0">
      <w:pPr>
        <w:rPr>
          <w:rFonts w:cs="Arial"/>
        </w:rPr>
      </w:pPr>
    </w:p>
    <w:p w14:paraId="60A0D3CD" w14:textId="77777777" w:rsidR="00E976B0" w:rsidRPr="00E976B0" w:rsidRDefault="00E976B0" w:rsidP="00E976B0">
      <w:pPr>
        <w:rPr>
          <w:rFonts w:cs="Arial"/>
        </w:rPr>
      </w:pPr>
    </w:p>
    <w:p w14:paraId="7BCA5F85" w14:textId="77777777" w:rsidR="00E976B0" w:rsidRPr="00E976B0" w:rsidRDefault="00E976B0" w:rsidP="00E976B0">
      <w:pPr>
        <w:rPr>
          <w:rFonts w:cs="Arial"/>
        </w:rPr>
      </w:pPr>
    </w:p>
    <w:p w14:paraId="53EE9303" w14:textId="77777777" w:rsidR="00E976B0" w:rsidRPr="00E976B0" w:rsidRDefault="00E976B0" w:rsidP="00E976B0">
      <w:pPr>
        <w:rPr>
          <w:rFonts w:cs="Arial"/>
        </w:rPr>
      </w:pPr>
    </w:p>
    <w:p w14:paraId="1EC95BC3" w14:textId="77777777" w:rsidR="00E976B0" w:rsidRPr="00E976B0" w:rsidRDefault="00E976B0" w:rsidP="00E976B0">
      <w:pPr>
        <w:rPr>
          <w:rFonts w:cs="Arial"/>
        </w:rPr>
      </w:pPr>
    </w:p>
    <w:p w14:paraId="709CA1CE" w14:textId="77777777" w:rsidR="00E976B0" w:rsidRPr="00E976B0" w:rsidRDefault="00E976B0" w:rsidP="00E976B0">
      <w:pPr>
        <w:rPr>
          <w:rFonts w:cs="Arial"/>
        </w:rPr>
      </w:pPr>
    </w:p>
    <w:p w14:paraId="2AE13285" w14:textId="77777777" w:rsidR="00E976B0" w:rsidRPr="00E976B0" w:rsidRDefault="00E976B0" w:rsidP="00E976B0">
      <w:pPr>
        <w:rPr>
          <w:rFonts w:cs="Arial"/>
        </w:rPr>
      </w:pPr>
    </w:p>
    <w:p w14:paraId="097D92B9" w14:textId="77777777" w:rsidR="00E976B0" w:rsidRPr="00E976B0" w:rsidRDefault="00E976B0" w:rsidP="00E976B0">
      <w:pPr>
        <w:rPr>
          <w:rFonts w:cs="Arial"/>
        </w:rPr>
      </w:pPr>
    </w:p>
    <w:p w14:paraId="0EDB4DC7" w14:textId="77777777" w:rsidR="00E976B0" w:rsidRPr="00E976B0" w:rsidRDefault="00E976B0" w:rsidP="00E976B0">
      <w:pPr>
        <w:rPr>
          <w:rFonts w:cs="Arial"/>
        </w:rPr>
      </w:pPr>
    </w:p>
    <w:p w14:paraId="4CF04DEC" w14:textId="77777777" w:rsidR="00E976B0" w:rsidRPr="00E976B0" w:rsidRDefault="00E976B0" w:rsidP="00E976B0">
      <w:pPr>
        <w:rPr>
          <w:rFonts w:cs="Arial"/>
        </w:rPr>
      </w:pPr>
    </w:p>
    <w:p w14:paraId="6773334A" w14:textId="77777777" w:rsidR="00E976B0" w:rsidRPr="00E976B0" w:rsidRDefault="00E976B0" w:rsidP="00E976B0">
      <w:pPr>
        <w:rPr>
          <w:rFonts w:cs="Arial"/>
        </w:rPr>
      </w:pPr>
    </w:p>
    <w:p w14:paraId="564F4674" w14:textId="77777777" w:rsidR="00E976B0" w:rsidRPr="00E976B0" w:rsidRDefault="00E976B0" w:rsidP="00E976B0">
      <w:pPr>
        <w:rPr>
          <w:rFonts w:cs="Arial"/>
        </w:rPr>
      </w:pPr>
    </w:p>
    <w:p w14:paraId="76323B7C" w14:textId="77777777" w:rsidR="00E976B0" w:rsidRPr="00E976B0" w:rsidRDefault="00E976B0" w:rsidP="00E976B0">
      <w:pPr>
        <w:rPr>
          <w:rFonts w:cs="Arial"/>
        </w:rPr>
      </w:pPr>
    </w:p>
    <w:p w14:paraId="09CD29B1" w14:textId="77777777" w:rsidR="00E976B0" w:rsidRPr="00E976B0" w:rsidRDefault="00E976B0" w:rsidP="00E976B0">
      <w:pPr>
        <w:rPr>
          <w:rFonts w:cs="Arial"/>
        </w:rPr>
      </w:pPr>
    </w:p>
    <w:p w14:paraId="0D991D0F" w14:textId="77777777" w:rsidR="00E976B0" w:rsidRPr="00E976B0" w:rsidRDefault="00E976B0" w:rsidP="00E976B0">
      <w:pPr>
        <w:rPr>
          <w:rFonts w:cs="Arial"/>
        </w:rPr>
      </w:pPr>
    </w:p>
    <w:p w14:paraId="01046208" w14:textId="77777777" w:rsidR="00E976B0" w:rsidRPr="00E976B0" w:rsidRDefault="00E976B0" w:rsidP="00E976B0">
      <w:pPr>
        <w:rPr>
          <w:rFonts w:cs="Arial"/>
        </w:rPr>
      </w:pPr>
    </w:p>
    <w:p w14:paraId="23344283" w14:textId="77777777" w:rsidR="00E976B0" w:rsidRPr="00E976B0" w:rsidRDefault="00E976B0" w:rsidP="00E976B0">
      <w:pPr>
        <w:rPr>
          <w:rFonts w:cs="Arial"/>
        </w:rPr>
      </w:pPr>
    </w:p>
    <w:p w14:paraId="3E54058D" w14:textId="77777777" w:rsidR="00E976B0" w:rsidRPr="00E976B0" w:rsidRDefault="00E976B0" w:rsidP="00E976B0">
      <w:pPr>
        <w:rPr>
          <w:rFonts w:cs="Arial"/>
        </w:rPr>
      </w:pPr>
    </w:p>
    <w:p w14:paraId="35ACB3DD" w14:textId="77777777" w:rsidR="00E976B0" w:rsidRPr="00E976B0" w:rsidRDefault="00E976B0" w:rsidP="00E976B0">
      <w:pPr>
        <w:rPr>
          <w:rFonts w:cs="Arial"/>
        </w:rPr>
      </w:pPr>
    </w:p>
    <w:p w14:paraId="7F0F4366" w14:textId="77777777" w:rsidR="00E976B0" w:rsidRPr="00E976B0" w:rsidRDefault="00E976B0" w:rsidP="00E976B0">
      <w:pPr>
        <w:rPr>
          <w:rFonts w:cs="Arial"/>
        </w:rPr>
      </w:pPr>
    </w:p>
    <w:p w14:paraId="2927B26F" w14:textId="77777777" w:rsidR="00E976B0" w:rsidRPr="00E976B0" w:rsidRDefault="00E976B0" w:rsidP="00E976B0">
      <w:pPr>
        <w:rPr>
          <w:rFonts w:cs="Arial"/>
        </w:rPr>
      </w:pPr>
    </w:p>
    <w:p w14:paraId="41DFC9C4" w14:textId="77777777" w:rsidR="00E976B0" w:rsidRPr="00E976B0" w:rsidRDefault="00E976B0" w:rsidP="00E976B0">
      <w:pPr>
        <w:rPr>
          <w:rFonts w:cs="Arial"/>
        </w:rPr>
      </w:pPr>
    </w:p>
    <w:p w14:paraId="25177C1E" w14:textId="77777777" w:rsidR="00E976B0" w:rsidRPr="00E976B0" w:rsidRDefault="00E976B0" w:rsidP="00E976B0">
      <w:pPr>
        <w:rPr>
          <w:rFonts w:cs="Arial"/>
        </w:rPr>
      </w:pPr>
    </w:p>
    <w:p w14:paraId="7BC7CC3F" w14:textId="77777777" w:rsidR="00E976B0" w:rsidRPr="00E976B0" w:rsidRDefault="00E976B0" w:rsidP="00E976B0">
      <w:pPr>
        <w:rPr>
          <w:rFonts w:cs="Arial"/>
        </w:rPr>
      </w:pPr>
    </w:p>
    <w:p w14:paraId="29C69C24" w14:textId="77777777" w:rsidR="00E976B0" w:rsidRPr="00E976B0" w:rsidRDefault="00E976B0" w:rsidP="00E976B0">
      <w:pPr>
        <w:rPr>
          <w:rFonts w:cs="Arial"/>
        </w:rPr>
      </w:pPr>
    </w:p>
    <w:p w14:paraId="77D92E46" w14:textId="77777777" w:rsidR="00E976B0" w:rsidRPr="00E976B0" w:rsidRDefault="00E976B0" w:rsidP="00E976B0">
      <w:pPr>
        <w:rPr>
          <w:rFonts w:cs="Arial"/>
        </w:rPr>
      </w:pPr>
    </w:p>
    <w:p w14:paraId="2FD6951F" w14:textId="77777777" w:rsidR="00E976B0" w:rsidRPr="00E976B0" w:rsidRDefault="00E976B0" w:rsidP="00E976B0">
      <w:pPr>
        <w:rPr>
          <w:rFonts w:cs="Arial"/>
        </w:rPr>
      </w:pPr>
    </w:p>
    <w:p w14:paraId="2F577BE7" w14:textId="77777777" w:rsidR="00E976B0" w:rsidRPr="00E976B0" w:rsidRDefault="00E976B0" w:rsidP="00E976B0">
      <w:pPr>
        <w:rPr>
          <w:rFonts w:cs="Arial"/>
        </w:rPr>
      </w:pPr>
    </w:p>
    <w:p w14:paraId="4988EA27" w14:textId="4A392555" w:rsidR="00E976B0" w:rsidRDefault="00E976B0" w:rsidP="00E976B0">
      <w:pPr>
        <w:rPr>
          <w:rFonts w:cs="Arial"/>
        </w:rPr>
      </w:pPr>
    </w:p>
    <w:p w14:paraId="0D5A149C" w14:textId="53D55945" w:rsidR="00E976B0" w:rsidRDefault="00E976B0" w:rsidP="00E976B0">
      <w:pPr>
        <w:rPr>
          <w:rFonts w:cs="Arial"/>
        </w:rPr>
      </w:pPr>
    </w:p>
    <w:p w14:paraId="3ACE998A" w14:textId="22E50512" w:rsidR="00BB22C2" w:rsidRPr="00E976B0" w:rsidRDefault="00E976B0" w:rsidP="00E976B0">
      <w:pPr>
        <w:tabs>
          <w:tab w:val="left" w:pos="7110"/>
        </w:tabs>
        <w:rPr>
          <w:rFonts w:cs="Arial"/>
        </w:rPr>
      </w:pPr>
      <w:r>
        <w:rPr>
          <w:rFonts w:cs="Arial"/>
        </w:rPr>
        <w:tab/>
      </w:r>
    </w:p>
    <w:sectPr w:rsidR="00BB22C2" w:rsidRPr="00E976B0" w:rsidSect="002F1BAF">
      <w:headerReference w:type="default" r:id="rId29"/>
      <w:footerReference w:type="default" r:id="rId30"/>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EA79" w14:textId="77777777" w:rsidR="00107589" w:rsidRDefault="00107589">
      <w:r>
        <w:separator/>
      </w:r>
    </w:p>
    <w:p w14:paraId="285FD363" w14:textId="77777777" w:rsidR="00107589" w:rsidRDefault="00107589"/>
  </w:endnote>
  <w:endnote w:type="continuationSeparator" w:id="0">
    <w:p w14:paraId="6F184FEE" w14:textId="77777777" w:rsidR="00107589" w:rsidRDefault="00107589">
      <w:r>
        <w:continuationSeparator/>
      </w:r>
    </w:p>
    <w:p w14:paraId="12BF3DE6" w14:textId="77777777" w:rsidR="00107589" w:rsidRDefault="0010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F2F2" w14:textId="77777777" w:rsidR="00107589" w:rsidRDefault="00107589"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0488" w14:textId="77777777" w:rsidR="00107589" w:rsidRDefault="0010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CF68" w14:textId="53A3E74C" w:rsidR="00107589" w:rsidRPr="00541F62" w:rsidRDefault="00107589" w:rsidP="00C25604">
    <w:pPr>
      <w:pStyle w:val="Footer"/>
      <w:pBdr>
        <w:top w:val="single" w:sz="4" w:space="1" w:color="auto"/>
      </w:pBdr>
      <w:tabs>
        <w:tab w:val="clear" w:pos="4320"/>
        <w:tab w:val="clear" w:pos="8640"/>
        <w:tab w:val="right" w:pos="9360"/>
      </w:tabs>
      <w:rPr>
        <w:rFonts w:ascii="Arial Narrow" w:hAnsi="Arial Narrow"/>
        <w:b/>
        <w:sz w:val="20"/>
        <w:szCs w:val="20"/>
      </w:rPr>
    </w:pPr>
    <w:r w:rsidRPr="00541F62">
      <w:rPr>
        <w:rFonts w:ascii="Arial Narrow" w:hAnsi="Arial Narrow"/>
        <w:b/>
        <w:sz w:val="20"/>
        <w:szCs w:val="20"/>
      </w:rPr>
      <w:t>Cal TF – Work Paper Abstract</w:t>
    </w:r>
    <w:r w:rsidRPr="00541F62">
      <w:rPr>
        <w:rFonts w:ascii="Arial Narrow" w:hAnsi="Arial Narrow"/>
        <w:b/>
        <w:sz w:val="20"/>
        <w:szCs w:val="20"/>
      </w:rPr>
      <w:tab/>
      <w:t xml:space="preserve">  5/6/2016</w:t>
    </w:r>
  </w:p>
  <w:p w14:paraId="346CAE29" w14:textId="1691EBE5" w:rsidR="00107589" w:rsidRPr="00B845D5" w:rsidRDefault="00107589" w:rsidP="00C25604">
    <w:pPr>
      <w:pStyle w:val="Footer"/>
      <w:tabs>
        <w:tab w:val="clear" w:pos="4320"/>
        <w:tab w:val="clear" w:pos="8640"/>
        <w:tab w:val="left" w:pos="3478"/>
      </w:tabs>
      <w:rPr>
        <w:rFonts w:ascii="Arial Narrow" w:hAnsi="Arial Narrow"/>
        <w:b/>
        <w:color w:val="FF0000"/>
        <w:sz w:val="20"/>
        <w:szCs w:val="20"/>
      </w:rPr>
    </w:pPr>
    <w:r w:rsidRPr="00541F62">
      <w:rPr>
        <w:rFonts w:ascii="Arial Narrow" w:hAnsi="Arial Narrow"/>
        <w:b/>
        <w:sz w:val="20"/>
        <w:szCs w:val="20"/>
      </w:rPr>
      <w:t xml:space="preserve">High Efficiency Permanent Magnet Synchronous Motor Fan Assembly for Refrigerated Case Evaporators </w:t>
    </w:r>
    <w:r w:rsidRPr="00541F62">
      <w:rPr>
        <w:rFonts w:ascii="Arial Narrow" w:hAnsi="Arial Narrow"/>
        <w:b/>
        <w:sz w:val="20"/>
        <w:szCs w:val="20"/>
      </w:rPr>
      <w:tab/>
      <w:t xml:space="preserve">         Page </w:t>
    </w:r>
    <w:r w:rsidRPr="00541F62">
      <w:fldChar w:fldCharType="begin"/>
    </w:r>
    <w:r w:rsidRPr="00541F62">
      <w:instrText xml:space="preserve"> PAGE  \* Arabic  \* MERGEFORMAT </w:instrText>
    </w:r>
    <w:r w:rsidRPr="00541F62">
      <w:fldChar w:fldCharType="separate"/>
    </w:r>
    <w:r w:rsidR="00CC47DF" w:rsidRPr="00CC47DF">
      <w:rPr>
        <w:rFonts w:ascii="Arial Narrow" w:hAnsi="Arial Narrow"/>
        <w:b/>
        <w:noProof/>
        <w:sz w:val="20"/>
        <w:szCs w:val="20"/>
      </w:rPr>
      <w:t>5</w:t>
    </w:r>
    <w:r w:rsidRPr="00541F62">
      <w:rPr>
        <w:rFonts w:ascii="Arial Narrow" w:hAnsi="Arial Narrow"/>
        <w:b/>
        <w:noProof/>
        <w:sz w:val="20"/>
        <w:szCs w:val="20"/>
      </w:rPr>
      <w:fldChar w:fldCharType="end"/>
    </w:r>
    <w:r>
      <w:rPr>
        <w:rFonts w:ascii="Arial Narrow" w:hAnsi="Arial Narrow"/>
        <w:b/>
        <w:color w:val="FF0000"/>
        <w:sz w:val="20"/>
        <w:szCs w:val="20"/>
      </w:rPr>
      <w:tab/>
    </w:r>
  </w:p>
  <w:p w14:paraId="48622B84" w14:textId="77777777" w:rsidR="00107589" w:rsidRPr="00C25604" w:rsidRDefault="00107589"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458A" w14:textId="2141109A" w:rsidR="00107589" w:rsidRPr="00541F62" w:rsidRDefault="00107589" w:rsidP="00274A7E">
    <w:pPr>
      <w:pStyle w:val="Footer"/>
      <w:jc w:val="right"/>
      <w:rPr>
        <w:rFonts w:cs="Arial"/>
        <w:b/>
        <w:sz w:val="36"/>
        <w:szCs w:val="36"/>
      </w:rPr>
    </w:pPr>
    <w:r w:rsidRPr="00541F62">
      <w:rPr>
        <w:rFonts w:cs="Arial"/>
        <w:b/>
        <w:sz w:val="36"/>
        <w:szCs w:val="36"/>
      </w:rPr>
      <w:t>5/</w:t>
    </w:r>
    <w:r>
      <w:rPr>
        <w:rFonts w:cs="Arial"/>
        <w:b/>
        <w:sz w:val="36"/>
        <w:szCs w:val="36"/>
      </w:rPr>
      <w:t>17</w:t>
    </w:r>
    <w:r w:rsidRPr="00541F62">
      <w:rPr>
        <w:rFonts w:cs="Arial"/>
        <w:b/>
        <w:sz w:val="36"/>
        <w:szCs w:val="36"/>
      </w:rPr>
      <w:t xml:space="preserve">/2016 </w:t>
    </w:r>
  </w:p>
  <w:p w14:paraId="26338558" w14:textId="5EDDA9E4" w:rsidR="00107589" w:rsidRPr="002E0E3F" w:rsidRDefault="00107589" w:rsidP="00274A7E">
    <w:pPr>
      <w:pStyle w:val="Footer"/>
      <w:jc w:val="right"/>
      <w:rPr>
        <w:rFonts w:cs="Arial"/>
        <w:b/>
        <w:sz w:val="36"/>
        <w:szCs w:val="36"/>
      </w:rPr>
    </w:pPr>
    <w:r>
      <w:rPr>
        <w:rFonts w:cs="Arial"/>
        <w:b/>
        <w:sz w:val="36"/>
        <w:szCs w:val="36"/>
      </w:rPr>
      <w:t>Template Rev. 13</w:t>
    </w:r>
  </w:p>
  <w:p w14:paraId="218F3C04" w14:textId="77777777" w:rsidR="00107589" w:rsidRDefault="001075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A018" w14:textId="069902E3" w:rsidR="00107589" w:rsidRPr="00C50534" w:rsidRDefault="00107589" w:rsidP="00C25604">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C5053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E976B0">
      <w:rPr>
        <w:rFonts w:ascii="Arial Narrow" w:hAnsi="Arial Narrow"/>
        <w:b/>
        <w:sz w:val="20"/>
        <w:szCs w:val="20"/>
      </w:rPr>
      <w:t>5/6/2016</w:t>
    </w:r>
  </w:p>
  <w:p w14:paraId="73D596FA" w14:textId="51F997FE" w:rsidR="00107589" w:rsidRPr="00B845D5" w:rsidRDefault="00107589" w:rsidP="00C25604">
    <w:pPr>
      <w:pStyle w:val="Footer"/>
      <w:tabs>
        <w:tab w:val="clear" w:pos="4320"/>
        <w:tab w:val="clear" w:pos="8640"/>
        <w:tab w:val="left" w:pos="3478"/>
      </w:tabs>
      <w:rPr>
        <w:rFonts w:ascii="Arial Narrow" w:hAnsi="Arial Narrow"/>
        <w:b/>
        <w:color w:val="FF0000"/>
        <w:sz w:val="20"/>
        <w:szCs w:val="20"/>
      </w:rPr>
    </w:pPr>
    <w:r w:rsidRPr="00541F62">
      <w:rPr>
        <w:rFonts w:ascii="Arial Narrow" w:hAnsi="Arial Narrow"/>
        <w:b/>
        <w:sz w:val="20"/>
        <w:szCs w:val="20"/>
      </w:rPr>
      <w:t>High Efficiency Permanent Magnet Synchronous Motor Fan Assembly for Refrigerated Case Evaporators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CC47DF" w:rsidRPr="00CC47DF">
      <w:rPr>
        <w:rFonts w:ascii="Arial Narrow" w:hAnsi="Arial Narrow"/>
        <w:b/>
        <w:noProof/>
        <w:sz w:val="20"/>
        <w:szCs w:val="20"/>
      </w:rPr>
      <w:t>8</w:t>
    </w:r>
    <w:r>
      <w:rPr>
        <w:rFonts w:ascii="Arial Narrow" w:hAnsi="Arial Narrow"/>
        <w:b/>
        <w:noProof/>
        <w:sz w:val="20"/>
        <w:szCs w:val="20"/>
      </w:rPr>
      <w:fldChar w:fldCharType="end"/>
    </w:r>
    <w:r>
      <w:rPr>
        <w:rFonts w:ascii="Arial Narrow" w:hAnsi="Arial Narrow"/>
        <w:b/>
        <w:color w:val="FF0000"/>
        <w:sz w:val="20"/>
        <w:szCs w:val="20"/>
      </w:rPr>
      <w:tab/>
    </w:r>
  </w:p>
  <w:p w14:paraId="640DE1FD" w14:textId="77777777" w:rsidR="00107589" w:rsidRPr="00C25604" w:rsidRDefault="00107589"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2C3A" w14:textId="0C87227F" w:rsidR="00107589" w:rsidRPr="00C50534" w:rsidRDefault="00107589"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E976B0">
      <w:rPr>
        <w:rFonts w:ascii="Arial Narrow" w:hAnsi="Arial Narrow"/>
        <w:b/>
        <w:sz w:val="20"/>
        <w:szCs w:val="20"/>
      </w:rPr>
      <w:t>5/6/2016</w:t>
    </w:r>
  </w:p>
  <w:p w14:paraId="16608B1C" w14:textId="32A9C33F" w:rsidR="00107589" w:rsidRPr="00B845D5" w:rsidRDefault="00107589" w:rsidP="0057032C">
    <w:pPr>
      <w:pStyle w:val="Footer"/>
      <w:tabs>
        <w:tab w:val="clear" w:pos="4320"/>
        <w:tab w:val="clear" w:pos="8640"/>
        <w:tab w:val="left" w:pos="3478"/>
      </w:tabs>
      <w:rPr>
        <w:rFonts w:ascii="Arial Narrow" w:hAnsi="Arial Narrow"/>
        <w:b/>
        <w:color w:val="FF0000"/>
        <w:sz w:val="20"/>
        <w:szCs w:val="20"/>
      </w:rPr>
    </w:pPr>
    <w:r w:rsidRPr="00541F62">
      <w:rPr>
        <w:rFonts w:ascii="Arial Narrow" w:hAnsi="Arial Narrow"/>
        <w:b/>
        <w:sz w:val="20"/>
        <w:szCs w:val="20"/>
      </w:rPr>
      <w:t>High Efficiency Permanent Magnet Synchronous Motor Fan Assembly for Refrigerated Case Evaporator</w:t>
    </w:r>
    <w:r>
      <w:rPr>
        <w:rFonts w:ascii="Arial Narrow" w:hAnsi="Arial Narrow"/>
        <w:b/>
        <w:sz w:val="20"/>
        <w:szCs w:val="20"/>
      </w:rPr>
      <w:t>s</w:t>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CC47DF" w:rsidRPr="00CC47DF">
      <w:rPr>
        <w:rFonts w:ascii="Arial Narrow" w:hAnsi="Arial Narrow"/>
        <w:b/>
        <w:noProof/>
        <w:sz w:val="20"/>
        <w:szCs w:val="20"/>
      </w:rPr>
      <w:t>9</w:t>
    </w:r>
    <w:r>
      <w:rPr>
        <w:rFonts w:ascii="Arial Narrow" w:hAnsi="Arial Narrow"/>
        <w:b/>
        <w:noProof/>
        <w:sz w:val="20"/>
        <w:szCs w:val="20"/>
      </w:rPr>
      <w:fldChar w:fldCharType="end"/>
    </w:r>
    <w:r>
      <w:rPr>
        <w:rFonts w:ascii="Arial Narrow" w:hAnsi="Arial Narrow"/>
        <w:b/>
        <w:color w:val="FF0000"/>
        <w:sz w:val="20"/>
        <w:szCs w:val="20"/>
      </w:rPr>
      <w:tab/>
    </w:r>
  </w:p>
  <w:p w14:paraId="10C56314" w14:textId="77777777" w:rsidR="00107589" w:rsidRPr="0057032C" w:rsidRDefault="00107589" w:rsidP="0057032C">
    <w:pPr>
      <w:pStyle w:val="Footer"/>
    </w:pPr>
    <w:r w:rsidRPr="0057032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4712" w14:textId="619D3004" w:rsidR="00107589" w:rsidRPr="00E976B0" w:rsidRDefault="00107589" w:rsidP="0057032C">
    <w:pPr>
      <w:pStyle w:val="Footer"/>
      <w:pBdr>
        <w:top w:val="single" w:sz="4" w:space="1" w:color="auto"/>
      </w:pBdr>
      <w:tabs>
        <w:tab w:val="clear" w:pos="4320"/>
        <w:tab w:val="clear" w:pos="8640"/>
        <w:tab w:val="right" w:pos="9360"/>
      </w:tabs>
      <w:rPr>
        <w:rFonts w:ascii="Arial Narrow" w:hAnsi="Arial Narrow"/>
        <w:b/>
        <w:sz w:val="20"/>
        <w:szCs w:val="20"/>
      </w:rPr>
    </w:pPr>
    <w:r w:rsidRPr="00E976B0">
      <w:rPr>
        <w:rFonts w:ascii="Arial Narrow" w:hAnsi="Arial Narrow"/>
        <w:b/>
        <w:sz w:val="20"/>
        <w:szCs w:val="20"/>
      </w:rPr>
      <w:t>Cal TF – Work Paper Abstract</w:t>
    </w:r>
    <w:r w:rsidRPr="00E976B0">
      <w:rPr>
        <w:rFonts w:ascii="Arial Narrow" w:hAnsi="Arial Narrow"/>
        <w:b/>
        <w:sz w:val="20"/>
        <w:szCs w:val="20"/>
      </w:rPr>
      <w:tab/>
      <w:t>5/6/2016</w:t>
    </w:r>
  </w:p>
  <w:p w14:paraId="66DD43BF" w14:textId="62567617" w:rsidR="00107589" w:rsidRPr="00B845D5" w:rsidRDefault="00107589" w:rsidP="0057032C">
    <w:pPr>
      <w:pStyle w:val="Footer"/>
      <w:tabs>
        <w:tab w:val="clear" w:pos="4320"/>
        <w:tab w:val="clear" w:pos="8640"/>
        <w:tab w:val="left" w:pos="3478"/>
      </w:tabs>
      <w:rPr>
        <w:rFonts w:ascii="Arial Narrow" w:hAnsi="Arial Narrow"/>
        <w:b/>
        <w:color w:val="FF0000"/>
        <w:sz w:val="20"/>
        <w:szCs w:val="20"/>
      </w:rPr>
    </w:pPr>
    <w:r w:rsidRPr="00541F62">
      <w:rPr>
        <w:rFonts w:ascii="Arial Narrow" w:hAnsi="Arial Narrow"/>
        <w:b/>
        <w:sz w:val="20"/>
        <w:szCs w:val="20"/>
      </w:rPr>
      <w:t>High Efficiency Permanent Magnet Synchronous Motor Fan Assembly for Refrigerated Case Evaporator</w:t>
    </w:r>
    <w:r>
      <w:rPr>
        <w:rFonts w:ascii="Arial Narrow" w:hAnsi="Arial Narrow"/>
        <w:b/>
        <w:sz w:val="20"/>
        <w:szCs w:val="20"/>
      </w:rPr>
      <w:t>s</w:t>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EB7BE6" w:rsidRPr="00EB7BE6">
      <w:rPr>
        <w:rFonts w:ascii="Arial Narrow" w:hAnsi="Arial Narrow"/>
        <w:b/>
        <w:noProof/>
        <w:sz w:val="20"/>
        <w:szCs w:val="20"/>
      </w:rPr>
      <w:t>13</w:t>
    </w:r>
    <w:r>
      <w:rPr>
        <w:rFonts w:ascii="Arial Narrow" w:hAnsi="Arial Narrow"/>
        <w:b/>
        <w:noProof/>
        <w:sz w:val="20"/>
        <w:szCs w:val="20"/>
      </w:rPr>
      <w:fldChar w:fldCharType="end"/>
    </w:r>
    <w:r>
      <w:rPr>
        <w:rFonts w:ascii="Arial Narrow" w:hAnsi="Arial Narrow"/>
        <w:b/>
        <w:color w:val="FF0000"/>
        <w:sz w:val="20"/>
        <w:szCs w:val="20"/>
      </w:rPr>
      <w:tab/>
    </w:r>
  </w:p>
  <w:p w14:paraId="517CD7CB" w14:textId="77777777" w:rsidR="00107589" w:rsidRPr="0057032C" w:rsidRDefault="00107589" w:rsidP="0057032C">
    <w:pPr>
      <w:pStyle w:val="Footer"/>
    </w:pPr>
    <w:r w:rsidRPr="00570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6AA1" w14:textId="77777777" w:rsidR="00107589" w:rsidRDefault="00107589">
      <w:r>
        <w:separator/>
      </w:r>
    </w:p>
    <w:p w14:paraId="2AF4493A" w14:textId="77777777" w:rsidR="00107589" w:rsidRDefault="00107589"/>
  </w:footnote>
  <w:footnote w:type="continuationSeparator" w:id="0">
    <w:p w14:paraId="2EAA1565" w14:textId="77777777" w:rsidR="00107589" w:rsidRDefault="00107589">
      <w:r>
        <w:continuationSeparator/>
      </w:r>
    </w:p>
    <w:p w14:paraId="4E039F07" w14:textId="77777777" w:rsidR="00107589" w:rsidRDefault="00107589"/>
  </w:footnote>
  <w:footnote w:id="1">
    <w:p w14:paraId="489A981F" w14:textId="77777777" w:rsidR="00107589" w:rsidRDefault="00107589">
      <w:pPr>
        <w:pStyle w:val="FootnoteText"/>
      </w:pPr>
      <w:r>
        <w:rPr>
          <w:rStyle w:val="FootnoteReference"/>
        </w:rPr>
        <w:footnoteRef/>
      </w:r>
      <w:r>
        <w:t xml:space="preserve"> Provide a link to source or embed source in Appendix A of this document with page numbers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69D7" w14:textId="691133C7" w:rsidR="00107589" w:rsidRDefault="00107589">
    <w:pPr>
      <w:pStyle w:val="Header"/>
    </w:pPr>
    <w:r>
      <w:rPr>
        <w:noProof/>
      </w:rPr>
      <mc:AlternateContent>
        <mc:Choice Requires="wps">
          <w:drawing>
            <wp:anchor distT="0" distB="0" distL="114300" distR="114300" simplePos="0" relativeHeight="251659264" behindDoc="1" locked="0" layoutInCell="1" allowOverlap="1" wp14:anchorId="15344137" wp14:editId="6A44B644">
              <wp:simplePos x="0" y="0"/>
              <wp:positionH relativeFrom="margin">
                <wp:align>center</wp:align>
              </wp:positionH>
              <wp:positionV relativeFrom="margin">
                <wp:align>center</wp:align>
              </wp:positionV>
              <wp:extent cx="5525135" cy="22098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AB19A" w14:textId="77777777" w:rsidR="00107589" w:rsidRDefault="00107589"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44137"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14:paraId="14EAB19A" w14:textId="77777777" w:rsidR="00107589" w:rsidRDefault="0010758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1B5" w14:textId="77777777" w:rsidR="00107589" w:rsidRDefault="00107589" w:rsidP="001A573F">
    <w:pPr>
      <w:pStyle w:val="Header"/>
      <w:jc w:val="right"/>
    </w:pPr>
  </w:p>
  <w:p w14:paraId="4AF3BA3C" w14:textId="77777777" w:rsidR="00107589" w:rsidRDefault="00107589"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DFEF" w14:textId="5826A92E" w:rsidR="00107589" w:rsidRDefault="00107589">
    <w:pPr>
      <w:pStyle w:val="Header"/>
    </w:pPr>
    <w:r>
      <w:rPr>
        <w:noProof/>
      </w:rPr>
      <mc:AlternateContent>
        <mc:Choice Requires="wps">
          <w:drawing>
            <wp:anchor distT="0" distB="0" distL="114300" distR="114300" simplePos="0" relativeHeight="251658240" behindDoc="1" locked="0" layoutInCell="1" allowOverlap="1" wp14:anchorId="10B69C65" wp14:editId="1BC7E63B">
              <wp:simplePos x="0" y="0"/>
              <wp:positionH relativeFrom="margin">
                <wp:posOffset>553145</wp:posOffset>
              </wp:positionH>
              <wp:positionV relativeFrom="margin">
                <wp:posOffset>3709236</wp:posOffset>
              </wp:positionV>
              <wp:extent cx="5525135" cy="1727629"/>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172762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41FAA" w14:textId="77777777" w:rsidR="00107589" w:rsidRDefault="00107589"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B69C65" id="_x0000_t202" coordsize="21600,21600" o:spt="202" path="m,l,21600r21600,l21600,xe">
              <v:stroke joinstyle="miter"/>
              <v:path gradientshapeok="t" o:connecttype="rect"/>
            </v:shapetype>
            <v:shape id="WordArt 4" o:spid="_x0000_s1027" type="#_x0000_t202" style="position:absolute;margin-left:43.55pt;margin-top:292.05pt;width:435.05pt;height:136.0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" filled="f" stroked="f">
              <v:stroke joinstyle="round"/>
              <o:lock v:ext="edit" shapetype="t"/>
              <v:textbox>
                <w:txbxContent>
                  <w:p w14:paraId="09D41FAA" w14:textId="77777777" w:rsidR="00107589" w:rsidRDefault="0010758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AB57" w14:textId="77777777" w:rsidR="00107589" w:rsidRPr="00F27D7E" w:rsidRDefault="00107589" w:rsidP="002F1BAF">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3E03F64E" w14:textId="77777777" w:rsidR="00107589" w:rsidRDefault="00107589" w:rsidP="001A573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7182" w14:textId="77777777" w:rsidR="00107589" w:rsidRPr="00F27D7E" w:rsidRDefault="00107589" w:rsidP="002F1BAF">
    <w:pPr>
      <w:pStyle w:val="Header"/>
      <w:shd w:val="clear" w:color="auto" w:fill="C2D69B" w:themeFill="accent3" w:themeFillTint="99"/>
      <w:tabs>
        <w:tab w:val="left" w:pos="516"/>
        <w:tab w:val="center" w:pos="4680"/>
        <w:tab w:val="right" w:pos="9360"/>
      </w:tabs>
      <w:rPr>
        <w:sz w:val="28"/>
        <w:szCs w:val="28"/>
      </w:rPr>
    </w:pPr>
    <w:r>
      <w:rPr>
        <w:i/>
        <w:sz w:val="28"/>
        <w:szCs w:val="28"/>
      </w:rPr>
      <w:tab/>
    </w:r>
    <w:r>
      <w:rPr>
        <w:i/>
        <w:sz w:val="28"/>
        <w:szCs w:val="28"/>
      </w:rPr>
      <w:tab/>
    </w:r>
    <w:r w:rsidRPr="00F27D7E">
      <w:rPr>
        <w:i/>
        <w:sz w:val="28"/>
        <w:szCs w:val="28"/>
      </w:rPr>
      <w:t>T</w:t>
    </w:r>
    <w:r>
      <w:rPr>
        <w:i/>
        <w:sz w:val="28"/>
        <w:szCs w:val="28"/>
      </w:rPr>
      <w:t>his page to be completed by</w:t>
    </w:r>
    <w:r w:rsidRPr="00F27D7E">
      <w:rPr>
        <w:i/>
        <w:sz w:val="28"/>
        <w:szCs w:val="28"/>
      </w:rPr>
      <w:t xml:space="preserve"> </w:t>
    </w:r>
    <w:r>
      <w:rPr>
        <w:i/>
        <w:sz w:val="28"/>
        <w:szCs w:val="28"/>
      </w:rPr>
      <w:t>Cal TF Staff</w:t>
    </w:r>
    <w:r>
      <w:rPr>
        <w:i/>
        <w:sz w:val="28"/>
        <w:szCs w:val="28"/>
      </w:rPr>
      <w:tab/>
    </w:r>
    <w:r>
      <w:rPr>
        <w:i/>
        <w:sz w:val="28"/>
        <w:szCs w:val="28"/>
      </w:rPr>
      <w:tab/>
    </w:r>
  </w:p>
  <w:p w14:paraId="58394E95" w14:textId="77777777" w:rsidR="00107589" w:rsidRDefault="00107589"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DA5" w14:textId="77777777" w:rsidR="00107589" w:rsidRPr="00F27D7E" w:rsidRDefault="00107589" w:rsidP="00C25604">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2A6AF937" w14:textId="77777777" w:rsidR="00107589" w:rsidRDefault="00107589" w:rsidP="001A57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0559A"/>
    <w:multiLevelType w:val="hybridMultilevel"/>
    <w:tmpl w:val="565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35707"/>
    <w:multiLevelType w:val="hybridMultilevel"/>
    <w:tmpl w:val="F0E65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2" w15:restartNumberingAfterBreak="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796C"/>
    <w:multiLevelType w:val="hybridMultilevel"/>
    <w:tmpl w:val="21807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92672"/>
    <w:multiLevelType w:val="hybridMultilevel"/>
    <w:tmpl w:val="5AB2D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C30E50"/>
    <w:multiLevelType w:val="hybridMultilevel"/>
    <w:tmpl w:val="32FEAEC0"/>
    <w:lvl w:ilvl="0" w:tplc="83E43E90">
      <w:start w:val="1"/>
      <w:numFmt w:val="decimal"/>
      <w:pStyle w:val="Heading1-Abstrac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758EE"/>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E3F0A"/>
    <w:multiLevelType w:val="hybridMultilevel"/>
    <w:tmpl w:val="3C3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B04C5"/>
    <w:multiLevelType w:val="hybridMultilevel"/>
    <w:tmpl w:val="31D4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F223F"/>
    <w:multiLevelType w:val="hybridMultilevel"/>
    <w:tmpl w:val="6A942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20856"/>
    <w:multiLevelType w:val="singleLevel"/>
    <w:tmpl w:val="6C78A414"/>
    <w:lvl w:ilvl="0">
      <w:start w:val="1"/>
      <w:numFmt w:val="decimal"/>
      <w:lvlText w:val="%1."/>
      <w:legacy w:legacy="1" w:legacySpace="0" w:legacyIndent="0"/>
      <w:lvlJc w:val="left"/>
    </w:lvl>
  </w:abstractNum>
  <w:abstractNum w:abstractNumId="33" w15:restartNumberingAfterBreak="0">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6"/>
  </w:num>
  <w:num w:numId="4">
    <w:abstractNumId w:val="9"/>
  </w:num>
  <w:num w:numId="5">
    <w:abstractNumId w:val="32"/>
  </w:num>
  <w:num w:numId="6">
    <w:abstractNumId w:val="11"/>
  </w:num>
  <w:num w:numId="7">
    <w:abstractNumId w:val="8"/>
  </w:num>
  <w:num w:numId="8">
    <w:abstractNumId w:val="15"/>
  </w:num>
  <w:num w:numId="9">
    <w:abstractNumId w:val="10"/>
  </w:num>
  <w:num w:numId="10">
    <w:abstractNumId w:val="1"/>
  </w:num>
  <w:num w:numId="11">
    <w:abstractNumId w:val="22"/>
  </w:num>
  <w:num w:numId="12">
    <w:abstractNumId w:val="27"/>
  </w:num>
  <w:num w:numId="13">
    <w:abstractNumId w:val="4"/>
  </w:num>
  <w:num w:numId="14">
    <w:abstractNumId w:val="34"/>
  </w:num>
  <w:num w:numId="15">
    <w:abstractNumId w:val="16"/>
  </w:num>
  <w:num w:numId="16">
    <w:abstractNumId w:val="19"/>
  </w:num>
  <w:num w:numId="17">
    <w:abstractNumId w:val="0"/>
  </w:num>
  <w:num w:numId="18">
    <w:abstractNumId w:val="33"/>
  </w:num>
  <w:num w:numId="19">
    <w:abstractNumId w:val="29"/>
  </w:num>
  <w:num w:numId="20">
    <w:abstractNumId w:val="30"/>
  </w:num>
  <w:num w:numId="21">
    <w:abstractNumId w:val="23"/>
  </w:num>
  <w:num w:numId="22">
    <w:abstractNumId w:val="31"/>
  </w:num>
  <w:num w:numId="23">
    <w:abstractNumId w:val="25"/>
  </w:num>
  <w:num w:numId="24">
    <w:abstractNumId w:val="18"/>
  </w:num>
  <w:num w:numId="25">
    <w:abstractNumId w:val="12"/>
  </w:num>
  <w:num w:numId="26">
    <w:abstractNumId w:val="28"/>
  </w:num>
  <w:num w:numId="27">
    <w:abstractNumId w:val="7"/>
  </w:num>
  <w:num w:numId="28">
    <w:abstractNumId w:val="20"/>
  </w:num>
  <w:num w:numId="29">
    <w:abstractNumId w:val="26"/>
  </w:num>
  <w:num w:numId="30">
    <w:abstractNumId w:val="18"/>
  </w:num>
  <w:num w:numId="31">
    <w:abstractNumId w:val="17"/>
  </w:num>
  <w:num w:numId="32">
    <w:abstractNumId w:val="5"/>
  </w:num>
  <w:num w:numId="33">
    <w:abstractNumId w:val="21"/>
  </w:num>
  <w:num w:numId="34">
    <w:abstractNumId w:val="24"/>
  </w:num>
  <w:num w:numId="35">
    <w:abstractNumId w:val="18"/>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06CD"/>
    <w:rsid w:val="00003527"/>
    <w:rsid w:val="00005D99"/>
    <w:rsid w:val="00005E70"/>
    <w:rsid w:val="00012F86"/>
    <w:rsid w:val="00012FC5"/>
    <w:rsid w:val="00014740"/>
    <w:rsid w:val="000170B5"/>
    <w:rsid w:val="00017488"/>
    <w:rsid w:val="00020042"/>
    <w:rsid w:val="0002129F"/>
    <w:rsid w:val="00022892"/>
    <w:rsid w:val="00024AA9"/>
    <w:rsid w:val="0002670C"/>
    <w:rsid w:val="00026F78"/>
    <w:rsid w:val="000272C2"/>
    <w:rsid w:val="0003012D"/>
    <w:rsid w:val="0003064A"/>
    <w:rsid w:val="00032B63"/>
    <w:rsid w:val="000351CB"/>
    <w:rsid w:val="000374A5"/>
    <w:rsid w:val="00037D0E"/>
    <w:rsid w:val="00044124"/>
    <w:rsid w:val="00044570"/>
    <w:rsid w:val="000452AD"/>
    <w:rsid w:val="00053957"/>
    <w:rsid w:val="00056348"/>
    <w:rsid w:val="000571F6"/>
    <w:rsid w:val="00057C09"/>
    <w:rsid w:val="00062105"/>
    <w:rsid w:val="00063FA7"/>
    <w:rsid w:val="0006490F"/>
    <w:rsid w:val="00065A01"/>
    <w:rsid w:val="00066D5B"/>
    <w:rsid w:val="000678A2"/>
    <w:rsid w:val="00067EB5"/>
    <w:rsid w:val="000701EB"/>
    <w:rsid w:val="000719AA"/>
    <w:rsid w:val="000746FC"/>
    <w:rsid w:val="000749EA"/>
    <w:rsid w:val="0007589E"/>
    <w:rsid w:val="00076069"/>
    <w:rsid w:val="00077161"/>
    <w:rsid w:val="000814B9"/>
    <w:rsid w:val="000842B9"/>
    <w:rsid w:val="00085DF5"/>
    <w:rsid w:val="00086424"/>
    <w:rsid w:val="00086594"/>
    <w:rsid w:val="00086F2F"/>
    <w:rsid w:val="00087378"/>
    <w:rsid w:val="00094D57"/>
    <w:rsid w:val="00095361"/>
    <w:rsid w:val="00095610"/>
    <w:rsid w:val="000966CC"/>
    <w:rsid w:val="00096BDF"/>
    <w:rsid w:val="000A1601"/>
    <w:rsid w:val="000A17BE"/>
    <w:rsid w:val="000A2ABA"/>
    <w:rsid w:val="000A2FB3"/>
    <w:rsid w:val="000A48F2"/>
    <w:rsid w:val="000A4BCA"/>
    <w:rsid w:val="000A5741"/>
    <w:rsid w:val="000A5FE2"/>
    <w:rsid w:val="000B043F"/>
    <w:rsid w:val="000B0B1E"/>
    <w:rsid w:val="000B7D19"/>
    <w:rsid w:val="000C0FD3"/>
    <w:rsid w:val="000C5B2D"/>
    <w:rsid w:val="000C6D7B"/>
    <w:rsid w:val="000C7F39"/>
    <w:rsid w:val="000D17B9"/>
    <w:rsid w:val="000D4BA1"/>
    <w:rsid w:val="000D5482"/>
    <w:rsid w:val="000E132D"/>
    <w:rsid w:val="000E22C9"/>
    <w:rsid w:val="000E31B5"/>
    <w:rsid w:val="000F0069"/>
    <w:rsid w:val="000F11DD"/>
    <w:rsid w:val="000F12A4"/>
    <w:rsid w:val="000F53E6"/>
    <w:rsid w:val="00100AC9"/>
    <w:rsid w:val="001032F2"/>
    <w:rsid w:val="001065EB"/>
    <w:rsid w:val="00107589"/>
    <w:rsid w:val="00113464"/>
    <w:rsid w:val="00113A51"/>
    <w:rsid w:val="00115EB1"/>
    <w:rsid w:val="001178BE"/>
    <w:rsid w:val="001204B1"/>
    <w:rsid w:val="0012176A"/>
    <w:rsid w:val="00121A22"/>
    <w:rsid w:val="00121D95"/>
    <w:rsid w:val="00122F79"/>
    <w:rsid w:val="001248A3"/>
    <w:rsid w:val="00124F32"/>
    <w:rsid w:val="00126483"/>
    <w:rsid w:val="00126A4E"/>
    <w:rsid w:val="00127CC8"/>
    <w:rsid w:val="00127EED"/>
    <w:rsid w:val="0013046A"/>
    <w:rsid w:val="0013080C"/>
    <w:rsid w:val="0013087E"/>
    <w:rsid w:val="00133198"/>
    <w:rsid w:val="00133C60"/>
    <w:rsid w:val="00136D56"/>
    <w:rsid w:val="00140BEF"/>
    <w:rsid w:val="00146434"/>
    <w:rsid w:val="001465B1"/>
    <w:rsid w:val="00150E0C"/>
    <w:rsid w:val="00150EC7"/>
    <w:rsid w:val="00155EF5"/>
    <w:rsid w:val="00167F2B"/>
    <w:rsid w:val="0017179F"/>
    <w:rsid w:val="001719B8"/>
    <w:rsid w:val="00172149"/>
    <w:rsid w:val="00175673"/>
    <w:rsid w:val="00176431"/>
    <w:rsid w:val="001828DE"/>
    <w:rsid w:val="00183C8E"/>
    <w:rsid w:val="00187CF8"/>
    <w:rsid w:val="00192B77"/>
    <w:rsid w:val="001946B1"/>
    <w:rsid w:val="00194E14"/>
    <w:rsid w:val="0019648A"/>
    <w:rsid w:val="001965AF"/>
    <w:rsid w:val="00196D7C"/>
    <w:rsid w:val="00197A23"/>
    <w:rsid w:val="001A3026"/>
    <w:rsid w:val="001A4516"/>
    <w:rsid w:val="001A550C"/>
    <w:rsid w:val="001A573F"/>
    <w:rsid w:val="001A5770"/>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30D5"/>
    <w:rsid w:val="001C63A2"/>
    <w:rsid w:val="001D0B16"/>
    <w:rsid w:val="001D11CE"/>
    <w:rsid w:val="001D16C2"/>
    <w:rsid w:val="001D2C8F"/>
    <w:rsid w:val="001D3F48"/>
    <w:rsid w:val="001D483C"/>
    <w:rsid w:val="001E4C31"/>
    <w:rsid w:val="001E7CA0"/>
    <w:rsid w:val="001F2884"/>
    <w:rsid w:val="001F4083"/>
    <w:rsid w:val="001F60D5"/>
    <w:rsid w:val="001F627F"/>
    <w:rsid w:val="001F7023"/>
    <w:rsid w:val="00200174"/>
    <w:rsid w:val="0020025F"/>
    <w:rsid w:val="0020604B"/>
    <w:rsid w:val="00211BAC"/>
    <w:rsid w:val="002154B2"/>
    <w:rsid w:val="002170D6"/>
    <w:rsid w:val="00220370"/>
    <w:rsid w:val="002203EA"/>
    <w:rsid w:val="0022055B"/>
    <w:rsid w:val="0022067C"/>
    <w:rsid w:val="002207C3"/>
    <w:rsid w:val="00222287"/>
    <w:rsid w:val="0022428B"/>
    <w:rsid w:val="00225340"/>
    <w:rsid w:val="002257FA"/>
    <w:rsid w:val="00231B99"/>
    <w:rsid w:val="00235694"/>
    <w:rsid w:val="00241632"/>
    <w:rsid w:val="0024233E"/>
    <w:rsid w:val="00243BAC"/>
    <w:rsid w:val="00243BC2"/>
    <w:rsid w:val="00244BD6"/>
    <w:rsid w:val="00245A56"/>
    <w:rsid w:val="002461C8"/>
    <w:rsid w:val="002466F4"/>
    <w:rsid w:val="00247E01"/>
    <w:rsid w:val="00251E83"/>
    <w:rsid w:val="00252352"/>
    <w:rsid w:val="00255067"/>
    <w:rsid w:val="0025558A"/>
    <w:rsid w:val="002570CF"/>
    <w:rsid w:val="0025738E"/>
    <w:rsid w:val="00257989"/>
    <w:rsid w:val="002628B9"/>
    <w:rsid w:val="00264B03"/>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2C2E"/>
    <w:rsid w:val="002A4B6C"/>
    <w:rsid w:val="002A669E"/>
    <w:rsid w:val="002A6912"/>
    <w:rsid w:val="002A750B"/>
    <w:rsid w:val="002B0ECF"/>
    <w:rsid w:val="002B4FEF"/>
    <w:rsid w:val="002B665F"/>
    <w:rsid w:val="002B69C1"/>
    <w:rsid w:val="002B7C2D"/>
    <w:rsid w:val="002C12FA"/>
    <w:rsid w:val="002C21F9"/>
    <w:rsid w:val="002C2610"/>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E7F92"/>
    <w:rsid w:val="002F105C"/>
    <w:rsid w:val="002F1B33"/>
    <w:rsid w:val="002F1BAF"/>
    <w:rsid w:val="002F2D19"/>
    <w:rsid w:val="002F341A"/>
    <w:rsid w:val="002F3610"/>
    <w:rsid w:val="002F3FE5"/>
    <w:rsid w:val="002F4E8C"/>
    <w:rsid w:val="0030080B"/>
    <w:rsid w:val="00301141"/>
    <w:rsid w:val="0030114D"/>
    <w:rsid w:val="0030157C"/>
    <w:rsid w:val="00302B74"/>
    <w:rsid w:val="003032B7"/>
    <w:rsid w:val="00305310"/>
    <w:rsid w:val="0030550A"/>
    <w:rsid w:val="003129E8"/>
    <w:rsid w:val="00313CF3"/>
    <w:rsid w:val="00314FE6"/>
    <w:rsid w:val="0031542A"/>
    <w:rsid w:val="00315AB7"/>
    <w:rsid w:val="00316F6C"/>
    <w:rsid w:val="00317043"/>
    <w:rsid w:val="003216E6"/>
    <w:rsid w:val="0032236F"/>
    <w:rsid w:val="00322F50"/>
    <w:rsid w:val="00324AFE"/>
    <w:rsid w:val="00324D0F"/>
    <w:rsid w:val="003259CD"/>
    <w:rsid w:val="0032657A"/>
    <w:rsid w:val="00333489"/>
    <w:rsid w:val="00333E01"/>
    <w:rsid w:val="00335017"/>
    <w:rsid w:val="0033595B"/>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9B7"/>
    <w:rsid w:val="003743E3"/>
    <w:rsid w:val="00374640"/>
    <w:rsid w:val="00377407"/>
    <w:rsid w:val="0038391A"/>
    <w:rsid w:val="003872C4"/>
    <w:rsid w:val="00390A78"/>
    <w:rsid w:val="003928AE"/>
    <w:rsid w:val="00392B5E"/>
    <w:rsid w:val="00392C05"/>
    <w:rsid w:val="00393618"/>
    <w:rsid w:val="00393D41"/>
    <w:rsid w:val="003941B5"/>
    <w:rsid w:val="00395845"/>
    <w:rsid w:val="003A1B51"/>
    <w:rsid w:val="003A648E"/>
    <w:rsid w:val="003A66D0"/>
    <w:rsid w:val="003A7230"/>
    <w:rsid w:val="003B2FDC"/>
    <w:rsid w:val="003B384E"/>
    <w:rsid w:val="003B51DE"/>
    <w:rsid w:val="003B53C4"/>
    <w:rsid w:val="003B6B5B"/>
    <w:rsid w:val="003C1D85"/>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6499"/>
    <w:rsid w:val="003E7422"/>
    <w:rsid w:val="003E7CF9"/>
    <w:rsid w:val="003E7D3D"/>
    <w:rsid w:val="003E7E0A"/>
    <w:rsid w:val="003F0CBE"/>
    <w:rsid w:val="003F2851"/>
    <w:rsid w:val="003F3179"/>
    <w:rsid w:val="003F37E0"/>
    <w:rsid w:val="003F3DED"/>
    <w:rsid w:val="003F4A0E"/>
    <w:rsid w:val="003F57BD"/>
    <w:rsid w:val="003F5B70"/>
    <w:rsid w:val="004018B3"/>
    <w:rsid w:val="0040323C"/>
    <w:rsid w:val="004039A9"/>
    <w:rsid w:val="00403B19"/>
    <w:rsid w:val="00403FBE"/>
    <w:rsid w:val="00404BE0"/>
    <w:rsid w:val="00406EDD"/>
    <w:rsid w:val="004078BB"/>
    <w:rsid w:val="004107F8"/>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D39"/>
    <w:rsid w:val="00435E41"/>
    <w:rsid w:val="00436F7E"/>
    <w:rsid w:val="00437947"/>
    <w:rsid w:val="00437BE1"/>
    <w:rsid w:val="0044128D"/>
    <w:rsid w:val="004419D3"/>
    <w:rsid w:val="00442366"/>
    <w:rsid w:val="0044337C"/>
    <w:rsid w:val="00445790"/>
    <w:rsid w:val="00450273"/>
    <w:rsid w:val="004509A5"/>
    <w:rsid w:val="00452233"/>
    <w:rsid w:val="00453CE7"/>
    <w:rsid w:val="004551F3"/>
    <w:rsid w:val="00455856"/>
    <w:rsid w:val="004563F1"/>
    <w:rsid w:val="00457B0A"/>
    <w:rsid w:val="00460002"/>
    <w:rsid w:val="004602EC"/>
    <w:rsid w:val="004617A6"/>
    <w:rsid w:val="00467FE9"/>
    <w:rsid w:val="00474025"/>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3C5F"/>
    <w:rsid w:val="004959B4"/>
    <w:rsid w:val="004967A2"/>
    <w:rsid w:val="00497CD3"/>
    <w:rsid w:val="004A19C7"/>
    <w:rsid w:val="004A249F"/>
    <w:rsid w:val="004A2D46"/>
    <w:rsid w:val="004A3A35"/>
    <w:rsid w:val="004A4716"/>
    <w:rsid w:val="004A6FCA"/>
    <w:rsid w:val="004B0F48"/>
    <w:rsid w:val="004B2CFB"/>
    <w:rsid w:val="004B4489"/>
    <w:rsid w:val="004C2E63"/>
    <w:rsid w:val="004C4E2A"/>
    <w:rsid w:val="004C56D1"/>
    <w:rsid w:val="004C7614"/>
    <w:rsid w:val="004D2C76"/>
    <w:rsid w:val="004D58D5"/>
    <w:rsid w:val="004D71AF"/>
    <w:rsid w:val="004D7301"/>
    <w:rsid w:val="004E275B"/>
    <w:rsid w:val="004E2777"/>
    <w:rsid w:val="004F1DB8"/>
    <w:rsid w:val="004F21BC"/>
    <w:rsid w:val="004F24C7"/>
    <w:rsid w:val="004F3EDB"/>
    <w:rsid w:val="004F55EC"/>
    <w:rsid w:val="004F61DD"/>
    <w:rsid w:val="00502569"/>
    <w:rsid w:val="0050293B"/>
    <w:rsid w:val="005034E1"/>
    <w:rsid w:val="00506204"/>
    <w:rsid w:val="00506E05"/>
    <w:rsid w:val="0050707B"/>
    <w:rsid w:val="00511171"/>
    <w:rsid w:val="005136CC"/>
    <w:rsid w:val="00513858"/>
    <w:rsid w:val="00514B37"/>
    <w:rsid w:val="00514EEC"/>
    <w:rsid w:val="00515FEB"/>
    <w:rsid w:val="00517432"/>
    <w:rsid w:val="00520400"/>
    <w:rsid w:val="00521874"/>
    <w:rsid w:val="00521920"/>
    <w:rsid w:val="005246B1"/>
    <w:rsid w:val="00530B04"/>
    <w:rsid w:val="00533BD0"/>
    <w:rsid w:val="00534386"/>
    <w:rsid w:val="00534D65"/>
    <w:rsid w:val="0053683E"/>
    <w:rsid w:val="00537B0D"/>
    <w:rsid w:val="005403E8"/>
    <w:rsid w:val="00540CF1"/>
    <w:rsid w:val="00540D0B"/>
    <w:rsid w:val="00541F62"/>
    <w:rsid w:val="00542990"/>
    <w:rsid w:val="00542A98"/>
    <w:rsid w:val="00544873"/>
    <w:rsid w:val="005453C5"/>
    <w:rsid w:val="0054599C"/>
    <w:rsid w:val="00545A84"/>
    <w:rsid w:val="00545AEF"/>
    <w:rsid w:val="00551EF3"/>
    <w:rsid w:val="00554084"/>
    <w:rsid w:val="00557E24"/>
    <w:rsid w:val="00560593"/>
    <w:rsid w:val="00560E6F"/>
    <w:rsid w:val="0056163A"/>
    <w:rsid w:val="00562217"/>
    <w:rsid w:val="00563BE5"/>
    <w:rsid w:val="00565798"/>
    <w:rsid w:val="00567397"/>
    <w:rsid w:val="0057032C"/>
    <w:rsid w:val="0057221C"/>
    <w:rsid w:val="00573FE5"/>
    <w:rsid w:val="00574FBD"/>
    <w:rsid w:val="00576106"/>
    <w:rsid w:val="005773BB"/>
    <w:rsid w:val="005834A4"/>
    <w:rsid w:val="00585C83"/>
    <w:rsid w:val="00586604"/>
    <w:rsid w:val="00587DDD"/>
    <w:rsid w:val="00591FDD"/>
    <w:rsid w:val="0059281F"/>
    <w:rsid w:val="00594795"/>
    <w:rsid w:val="005A1F9D"/>
    <w:rsid w:val="005A269A"/>
    <w:rsid w:val="005A3798"/>
    <w:rsid w:val="005A67E5"/>
    <w:rsid w:val="005A7302"/>
    <w:rsid w:val="005B00A6"/>
    <w:rsid w:val="005C03C5"/>
    <w:rsid w:val="005C14FF"/>
    <w:rsid w:val="005C2844"/>
    <w:rsid w:val="005C7F3F"/>
    <w:rsid w:val="005D156A"/>
    <w:rsid w:val="005D1877"/>
    <w:rsid w:val="005D6266"/>
    <w:rsid w:val="005E2187"/>
    <w:rsid w:val="005E3242"/>
    <w:rsid w:val="005E4D49"/>
    <w:rsid w:val="005E4FE9"/>
    <w:rsid w:val="005F19E0"/>
    <w:rsid w:val="005F3E96"/>
    <w:rsid w:val="005F57B5"/>
    <w:rsid w:val="005F7AA1"/>
    <w:rsid w:val="00604FAE"/>
    <w:rsid w:val="00607605"/>
    <w:rsid w:val="0061001E"/>
    <w:rsid w:val="00610B3C"/>
    <w:rsid w:val="00610FC6"/>
    <w:rsid w:val="00620916"/>
    <w:rsid w:val="00622319"/>
    <w:rsid w:val="00622683"/>
    <w:rsid w:val="00622D8D"/>
    <w:rsid w:val="00623394"/>
    <w:rsid w:val="00623A38"/>
    <w:rsid w:val="00623BA1"/>
    <w:rsid w:val="00623C70"/>
    <w:rsid w:val="0062416A"/>
    <w:rsid w:val="00625FB3"/>
    <w:rsid w:val="00626129"/>
    <w:rsid w:val="00632825"/>
    <w:rsid w:val="00632A52"/>
    <w:rsid w:val="00633A9C"/>
    <w:rsid w:val="00634414"/>
    <w:rsid w:val="00636012"/>
    <w:rsid w:val="00636987"/>
    <w:rsid w:val="00637D84"/>
    <w:rsid w:val="00640BB6"/>
    <w:rsid w:val="0064211E"/>
    <w:rsid w:val="00642FCD"/>
    <w:rsid w:val="0064307D"/>
    <w:rsid w:val="006433B2"/>
    <w:rsid w:val="00644D17"/>
    <w:rsid w:val="00645027"/>
    <w:rsid w:val="00645E69"/>
    <w:rsid w:val="0064609B"/>
    <w:rsid w:val="006502D2"/>
    <w:rsid w:val="00652DD9"/>
    <w:rsid w:val="006559C8"/>
    <w:rsid w:val="00657058"/>
    <w:rsid w:val="00657405"/>
    <w:rsid w:val="006574FE"/>
    <w:rsid w:val="006605C2"/>
    <w:rsid w:val="00661864"/>
    <w:rsid w:val="00663A00"/>
    <w:rsid w:val="00664FA6"/>
    <w:rsid w:val="00665965"/>
    <w:rsid w:val="0066632E"/>
    <w:rsid w:val="0067178A"/>
    <w:rsid w:val="00671943"/>
    <w:rsid w:val="00673682"/>
    <w:rsid w:val="00674939"/>
    <w:rsid w:val="006832A4"/>
    <w:rsid w:val="00683BAB"/>
    <w:rsid w:val="006846E9"/>
    <w:rsid w:val="0068481A"/>
    <w:rsid w:val="00686BC0"/>
    <w:rsid w:val="00686FF1"/>
    <w:rsid w:val="006872DB"/>
    <w:rsid w:val="0069304B"/>
    <w:rsid w:val="006951CF"/>
    <w:rsid w:val="00695ED2"/>
    <w:rsid w:val="006968B4"/>
    <w:rsid w:val="006A1022"/>
    <w:rsid w:val="006A1A83"/>
    <w:rsid w:val="006A2C4B"/>
    <w:rsid w:val="006A2FAC"/>
    <w:rsid w:val="006A4958"/>
    <w:rsid w:val="006A541C"/>
    <w:rsid w:val="006A55D2"/>
    <w:rsid w:val="006B42B8"/>
    <w:rsid w:val="006B4563"/>
    <w:rsid w:val="006B6104"/>
    <w:rsid w:val="006B6C44"/>
    <w:rsid w:val="006B763D"/>
    <w:rsid w:val="006B7EDD"/>
    <w:rsid w:val="006C0086"/>
    <w:rsid w:val="006C44B4"/>
    <w:rsid w:val="006C46E5"/>
    <w:rsid w:val="006D0365"/>
    <w:rsid w:val="006D0A00"/>
    <w:rsid w:val="006D2068"/>
    <w:rsid w:val="006D3725"/>
    <w:rsid w:val="006D3D1A"/>
    <w:rsid w:val="006D4AE1"/>
    <w:rsid w:val="006D52D8"/>
    <w:rsid w:val="006D5AAB"/>
    <w:rsid w:val="006D6E97"/>
    <w:rsid w:val="006D78DC"/>
    <w:rsid w:val="006E0111"/>
    <w:rsid w:val="006E173A"/>
    <w:rsid w:val="006E2760"/>
    <w:rsid w:val="006E3C13"/>
    <w:rsid w:val="006E5CB6"/>
    <w:rsid w:val="006F0139"/>
    <w:rsid w:val="006F214B"/>
    <w:rsid w:val="006F28C7"/>
    <w:rsid w:val="006F6281"/>
    <w:rsid w:val="007001DD"/>
    <w:rsid w:val="00701F47"/>
    <w:rsid w:val="0070443C"/>
    <w:rsid w:val="00706517"/>
    <w:rsid w:val="00712407"/>
    <w:rsid w:val="00712477"/>
    <w:rsid w:val="00717AE6"/>
    <w:rsid w:val="00717D1D"/>
    <w:rsid w:val="00721A54"/>
    <w:rsid w:val="00721C75"/>
    <w:rsid w:val="007228DB"/>
    <w:rsid w:val="007237A6"/>
    <w:rsid w:val="00723862"/>
    <w:rsid w:val="00724226"/>
    <w:rsid w:val="00730F7C"/>
    <w:rsid w:val="00731859"/>
    <w:rsid w:val="00732CF5"/>
    <w:rsid w:val="00733275"/>
    <w:rsid w:val="00735A4C"/>
    <w:rsid w:val="00735CB1"/>
    <w:rsid w:val="00741DF0"/>
    <w:rsid w:val="00741F74"/>
    <w:rsid w:val="00742E8A"/>
    <w:rsid w:val="007431B7"/>
    <w:rsid w:val="00745482"/>
    <w:rsid w:val="00745B08"/>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3C63"/>
    <w:rsid w:val="0077416A"/>
    <w:rsid w:val="00774BF4"/>
    <w:rsid w:val="00775C7E"/>
    <w:rsid w:val="0077706D"/>
    <w:rsid w:val="00777C1F"/>
    <w:rsid w:val="00777F6B"/>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525F"/>
    <w:rsid w:val="007B6564"/>
    <w:rsid w:val="007B7574"/>
    <w:rsid w:val="007C0E38"/>
    <w:rsid w:val="007C18E3"/>
    <w:rsid w:val="007C3824"/>
    <w:rsid w:val="007C4E08"/>
    <w:rsid w:val="007D0411"/>
    <w:rsid w:val="007D2F4C"/>
    <w:rsid w:val="007D3DFF"/>
    <w:rsid w:val="007D3F38"/>
    <w:rsid w:val="007D4DB8"/>
    <w:rsid w:val="007D5456"/>
    <w:rsid w:val="007D7677"/>
    <w:rsid w:val="007E2197"/>
    <w:rsid w:val="007E3304"/>
    <w:rsid w:val="007E6C79"/>
    <w:rsid w:val="007F121B"/>
    <w:rsid w:val="007F12ED"/>
    <w:rsid w:val="007F1E48"/>
    <w:rsid w:val="007F2147"/>
    <w:rsid w:val="007F36E9"/>
    <w:rsid w:val="007F4605"/>
    <w:rsid w:val="007F5121"/>
    <w:rsid w:val="007F5DF6"/>
    <w:rsid w:val="007F6C7D"/>
    <w:rsid w:val="0080261B"/>
    <w:rsid w:val="008026F6"/>
    <w:rsid w:val="00802C18"/>
    <w:rsid w:val="00803F84"/>
    <w:rsid w:val="008056EC"/>
    <w:rsid w:val="00806070"/>
    <w:rsid w:val="00806EE8"/>
    <w:rsid w:val="00807921"/>
    <w:rsid w:val="00811D89"/>
    <w:rsid w:val="00814500"/>
    <w:rsid w:val="00822081"/>
    <w:rsid w:val="00822F77"/>
    <w:rsid w:val="00826F22"/>
    <w:rsid w:val="00833AF7"/>
    <w:rsid w:val="00834023"/>
    <w:rsid w:val="0083414B"/>
    <w:rsid w:val="00835579"/>
    <w:rsid w:val="00836F9B"/>
    <w:rsid w:val="00844106"/>
    <w:rsid w:val="00844B27"/>
    <w:rsid w:val="00844D29"/>
    <w:rsid w:val="00846195"/>
    <w:rsid w:val="00846FA0"/>
    <w:rsid w:val="008479B6"/>
    <w:rsid w:val="0085197D"/>
    <w:rsid w:val="00851ABA"/>
    <w:rsid w:val="00852E52"/>
    <w:rsid w:val="00853B76"/>
    <w:rsid w:val="0086002F"/>
    <w:rsid w:val="00861976"/>
    <w:rsid w:val="00863F9D"/>
    <w:rsid w:val="008645F9"/>
    <w:rsid w:val="00864A45"/>
    <w:rsid w:val="0086628A"/>
    <w:rsid w:val="00870D31"/>
    <w:rsid w:val="00871279"/>
    <w:rsid w:val="00872913"/>
    <w:rsid w:val="00873F82"/>
    <w:rsid w:val="0087599D"/>
    <w:rsid w:val="00880CA5"/>
    <w:rsid w:val="008817B1"/>
    <w:rsid w:val="00881C6D"/>
    <w:rsid w:val="008834BB"/>
    <w:rsid w:val="008840FA"/>
    <w:rsid w:val="008846D2"/>
    <w:rsid w:val="00890F95"/>
    <w:rsid w:val="0089311A"/>
    <w:rsid w:val="00894613"/>
    <w:rsid w:val="008946C3"/>
    <w:rsid w:val="008948E0"/>
    <w:rsid w:val="0089528C"/>
    <w:rsid w:val="008A1884"/>
    <w:rsid w:val="008A3EBB"/>
    <w:rsid w:val="008A6467"/>
    <w:rsid w:val="008A6631"/>
    <w:rsid w:val="008B034D"/>
    <w:rsid w:val="008B0BBC"/>
    <w:rsid w:val="008B4153"/>
    <w:rsid w:val="008B5356"/>
    <w:rsid w:val="008B7927"/>
    <w:rsid w:val="008C5AF3"/>
    <w:rsid w:val="008C6AD1"/>
    <w:rsid w:val="008C71B5"/>
    <w:rsid w:val="008C7FA2"/>
    <w:rsid w:val="008D39A9"/>
    <w:rsid w:val="008D3AF4"/>
    <w:rsid w:val="008E3621"/>
    <w:rsid w:val="008E431F"/>
    <w:rsid w:val="008E5E12"/>
    <w:rsid w:val="008F0181"/>
    <w:rsid w:val="008F0D2A"/>
    <w:rsid w:val="008F12D4"/>
    <w:rsid w:val="008F17A0"/>
    <w:rsid w:val="008F23EF"/>
    <w:rsid w:val="008F305A"/>
    <w:rsid w:val="008F386F"/>
    <w:rsid w:val="008F4513"/>
    <w:rsid w:val="008F48E1"/>
    <w:rsid w:val="008F50A7"/>
    <w:rsid w:val="008F5BD0"/>
    <w:rsid w:val="009003FE"/>
    <w:rsid w:val="00901223"/>
    <w:rsid w:val="00902555"/>
    <w:rsid w:val="00903C95"/>
    <w:rsid w:val="009046D4"/>
    <w:rsid w:val="0091058D"/>
    <w:rsid w:val="00910FA5"/>
    <w:rsid w:val="00911502"/>
    <w:rsid w:val="00913858"/>
    <w:rsid w:val="00913A0F"/>
    <w:rsid w:val="00914959"/>
    <w:rsid w:val="00915CE6"/>
    <w:rsid w:val="00915E98"/>
    <w:rsid w:val="00916468"/>
    <w:rsid w:val="009168A1"/>
    <w:rsid w:val="00924681"/>
    <w:rsid w:val="009253CB"/>
    <w:rsid w:val="0092622E"/>
    <w:rsid w:val="0092664A"/>
    <w:rsid w:val="0092768E"/>
    <w:rsid w:val="00927B09"/>
    <w:rsid w:val="00930877"/>
    <w:rsid w:val="00943046"/>
    <w:rsid w:val="00944503"/>
    <w:rsid w:val="00945CB0"/>
    <w:rsid w:val="00951188"/>
    <w:rsid w:val="00951E98"/>
    <w:rsid w:val="00955732"/>
    <w:rsid w:val="00955CBA"/>
    <w:rsid w:val="00957FEC"/>
    <w:rsid w:val="00960F2F"/>
    <w:rsid w:val="009634F6"/>
    <w:rsid w:val="00963B5E"/>
    <w:rsid w:val="00963FA0"/>
    <w:rsid w:val="0096491F"/>
    <w:rsid w:val="0096787E"/>
    <w:rsid w:val="00974AFC"/>
    <w:rsid w:val="00974E95"/>
    <w:rsid w:val="00975F2D"/>
    <w:rsid w:val="00977BF5"/>
    <w:rsid w:val="0098302D"/>
    <w:rsid w:val="009833EF"/>
    <w:rsid w:val="00987608"/>
    <w:rsid w:val="0099360B"/>
    <w:rsid w:val="0099361C"/>
    <w:rsid w:val="00993B49"/>
    <w:rsid w:val="009943A0"/>
    <w:rsid w:val="009953BC"/>
    <w:rsid w:val="009963D2"/>
    <w:rsid w:val="009977F7"/>
    <w:rsid w:val="009A00A4"/>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10D9"/>
    <w:rsid w:val="009C2051"/>
    <w:rsid w:val="009C26F2"/>
    <w:rsid w:val="009C425A"/>
    <w:rsid w:val="009C5CA7"/>
    <w:rsid w:val="009C5EC5"/>
    <w:rsid w:val="009D03F8"/>
    <w:rsid w:val="009D1DF4"/>
    <w:rsid w:val="009D1E3B"/>
    <w:rsid w:val="009D6C4D"/>
    <w:rsid w:val="009D7A24"/>
    <w:rsid w:val="009E00E4"/>
    <w:rsid w:val="009E0D20"/>
    <w:rsid w:val="009E0F6B"/>
    <w:rsid w:val="009E22AC"/>
    <w:rsid w:val="009E23B7"/>
    <w:rsid w:val="009E27D7"/>
    <w:rsid w:val="009E2964"/>
    <w:rsid w:val="009E5D18"/>
    <w:rsid w:val="009E7DCD"/>
    <w:rsid w:val="009F16DE"/>
    <w:rsid w:val="009F2336"/>
    <w:rsid w:val="009F55F9"/>
    <w:rsid w:val="009F5CC0"/>
    <w:rsid w:val="009F6F8B"/>
    <w:rsid w:val="009F7164"/>
    <w:rsid w:val="00A01631"/>
    <w:rsid w:val="00A02F0A"/>
    <w:rsid w:val="00A037B0"/>
    <w:rsid w:val="00A03A78"/>
    <w:rsid w:val="00A0595C"/>
    <w:rsid w:val="00A06D3D"/>
    <w:rsid w:val="00A1074D"/>
    <w:rsid w:val="00A1096F"/>
    <w:rsid w:val="00A10CD4"/>
    <w:rsid w:val="00A127DD"/>
    <w:rsid w:val="00A12C9B"/>
    <w:rsid w:val="00A14E6C"/>
    <w:rsid w:val="00A167EC"/>
    <w:rsid w:val="00A172E6"/>
    <w:rsid w:val="00A24434"/>
    <w:rsid w:val="00A24C8D"/>
    <w:rsid w:val="00A26F15"/>
    <w:rsid w:val="00A30E37"/>
    <w:rsid w:val="00A35CF8"/>
    <w:rsid w:val="00A360E7"/>
    <w:rsid w:val="00A3618B"/>
    <w:rsid w:val="00A400FB"/>
    <w:rsid w:val="00A433CB"/>
    <w:rsid w:val="00A443D1"/>
    <w:rsid w:val="00A44D3E"/>
    <w:rsid w:val="00A456B3"/>
    <w:rsid w:val="00A47BFE"/>
    <w:rsid w:val="00A5087E"/>
    <w:rsid w:val="00A51808"/>
    <w:rsid w:val="00A51D78"/>
    <w:rsid w:val="00A51EA8"/>
    <w:rsid w:val="00A545DF"/>
    <w:rsid w:val="00A549C3"/>
    <w:rsid w:val="00A553A8"/>
    <w:rsid w:val="00A55DD1"/>
    <w:rsid w:val="00A561A8"/>
    <w:rsid w:val="00A562A6"/>
    <w:rsid w:val="00A6093A"/>
    <w:rsid w:val="00A614C3"/>
    <w:rsid w:val="00A62ADB"/>
    <w:rsid w:val="00A646B3"/>
    <w:rsid w:val="00A7007B"/>
    <w:rsid w:val="00A71623"/>
    <w:rsid w:val="00A71F50"/>
    <w:rsid w:val="00A732FB"/>
    <w:rsid w:val="00A75703"/>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C7F"/>
    <w:rsid w:val="00AA1F91"/>
    <w:rsid w:val="00AA4E02"/>
    <w:rsid w:val="00AA5CE1"/>
    <w:rsid w:val="00AA60C5"/>
    <w:rsid w:val="00AB2137"/>
    <w:rsid w:val="00AB2D9E"/>
    <w:rsid w:val="00AB4404"/>
    <w:rsid w:val="00AB68E3"/>
    <w:rsid w:val="00AB723D"/>
    <w:rsid w:val="00AC21EE"/>
    <w:rsid w:val="00AC2BFC"/>
    <w:rsid w:val="00AC3B22"/>
    <w:rsid w:val="00AC4101"/>
    <w:rsid w:val="00AC5597"/>
    <w:rsid w:val="00AC63D2"/>
    <w:rsid w:val="00AC6C3F"/>
    <w:rsid w:val="00AD0116"/>
    <w:rsid w:val="00AD1B42"/>
    <w:rsid w:val="00AD2324"/>
    <w:rsid w:val="00AD2548"/>
    <w:rsid w:val="00AD4177"/>
    <w:rsid w:val="00AD4698"/>
    <w:rsid w:val="00AD4B84"/>
    <w:rsid w:val="00AE23BE"/>
    <w:rsid w:val="00AE5772"/>
    <w:rsid w:val="00AF0AC0"/>
    <w:rsid w:val="00AF1807"/>
    <w:rsid w:val="00AF4CA9"/>
    <w:rsid w:val="00AF5B52"/>
    <w:rsid w:val="00B008BF"/>
    <w:rsid w:val="00B04CAF"/>
    <w:rsid w:val="00B06EFB"/>
    <w:rsid w:val="00B07460"/>
    <w:rsid w:val="00B10F5F"/>
    <w:rsid w:val="00B13646"/>
    <w:rsid w:val="00B139B9"/>
    <w:rsid w:val="00B155D6"/>
    <w:rsid w:val="00B16978"/>
    <w:rsid w:val="00B16BE4"/>
    <w:rsid w:val="00B17EBB"/>
    <w:rsid w:val="00B244F0"/>
    <w:rsid w:val="00B24A6F"/>
    <w:rsid w:val="00B278DB"/>
    <w:rsid w:val="00B30D4F"/>
    <w:rsid w:val="00B32CFB"/>
    <w:rsid w:val="00B3434E"/>
    <w:rsid w:val="00B3518B"/>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4F62"/>
    <w:rsid w:val="00B66898"/>
    <w:rsid w:val="00B66C53"/>
    <w:rsid w:val="00B66EB5"/>
    <w:rsid w:val="00B7164C"/>
    <w:rsid w:val="00B74832"/>
    <w:rsid w:val="00B74917"/>
    <w:rsid w:val="00B807AB"/>
    <w:rsid w:val="00B80F53"/>
    <w:rsid w:val="00B82E26"/>
    <w:rsid w:val="00B845D5"/>
    <w:rsid w:val="00B94C53"/>
    <w:rsid w:val="00B9513D"/>
    <w:rsid w:val="00B95FBC"/>
    <w:rsid w:val="00B97C44"/>
    <w:rsid w:val="00BA05AE"/>
    <w:rsid w:val="00BA0A11"/>
    <w:rsid w:val="00BA210E"/>
    <w:rsid w:val="00BA2FA3"/>
    <w:rsid w:val="00BA6418"/>
    <w:rsid w:val="00BA7263"/>
    <w:rsid w:val="00BA7D18"/>
    <w:rsid w:val="00BB22C2"/>
    <w:rsid w:val="00BB3A8F"/>
    <w:rsid w:val="00BC10BF"/>
    <w:rsid w:val="00BC19F6"/>
    <w:rsid w:val="00BC2A83"/>
    <w:rsid w:val="00BD02D0"/>
    <w:rsid w:val="00BD0D15"/>
    <w:rsid w:val="00BD1780"/>
    <w:rsid w:val="00BD4446"/>
    <w:rsid w:val="00BD4EF8"/>
    <w:rsid w:val="00BD5425"/>
    <w:rsid w:val="00BE2CAB"/>
    <w:rsid w:val="00BE5E74"/>
    <w:rsid w:val="00BF0332"/>
    <w:rsid w:val="00BF283D"/>
    <w:rsid w:val="00BF437B"/>
    <w:rsid w:val="00BF5FCC"/>
    <w:rsid w:val="00BF6CF0"/>
    <w:rsid w:val="00C00FA2"/>
    <w:rsid w:val="00C01FCC"/>
    <w:rsid w:val="00C030B4"/>
    <w:rsid w:val="00C04E16"/>
    <w:rsid w:val="00C069A2"/>
    <w:rsid w:val="00C069EC"/>
    <w:rsid w:val="00C102A1"/>
    <w:rsid w:val="00C10950"/>
    <w:rsid w:val="00C14729"/>
    <w:rsid w:val="00C17416"/>
    <w:rsid w:val="00C1748F"/>
    <w:rsid w:val="00C17AEE"/>
    <w:rsid w:val="00C20A1C"/>
    <w:rsid w:val="00C20BF9"/>
    <w:rsid w:val="00C221D5"/>
    <w:rsid w:val="00C2280A"/>
    <w:rsid w:val="00C25604"/>
    <w:rsid w:val="00C2652B"/>
    <w:rsid w:val="00C274E0"/>
    <w:rsid w:val="00C30598"/>
    <w:rsid w:val="00C346C7"/>
    <w:rsid w:val="00C352B9"/>
    <w:rsid w:val="00C373FB"/>
    <w:rsid w:val="00C41E61"/>
    <w:rsid w:val="00C45C85"/>
    <w:rsid w:val="00C47D58"/>
    <w:rsid w:val="00C50534"/>
    <w:rsid w:val="00C515CA"/>
    <w:rsid w:val="00C533E6"/>
    <w:rsid w:val="00C56730"/>
    <w:rsid w:val="00C6024F"/>
    <w:rsid w:val="00C60CE3"/>
    <w:rsid w:val="00C6335F"/>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CF9"/>
    <w:rsid w:val="00CA0EE2"/>
    <w:rsid w:val="00CA5466"/>
    <w:rsid w:val="00CA591D"/>
    <w:rsid w:val="00CA734B"/>
    <w:rsid w:val="00CB0475"/>
    <w:rsid w:val="00CB2C4F"/>
    <w:rsid w:val="00CB3583"/>
    <w:rsid w:val="00CB5C02"/>
    <w:rsid w:val="00CB6A8C"/>
    <w:rsid w:val="00CC34FF"/>
    <w:rsid w:val="00CC44F0"/>
    <w:rsid w:val="00CC47DF"/>
    <w:rsid w:val="00CD0E5B"/>
    <w:rsid w:val="00CD0FE9"/>
    <w:rsid w:val="00CD396E"/>
    <w:rsid w:val="00CD5104"/>
    <w:rsid w:val="00CD6046"/>
    <w:rsid w:val="00CE06A5"/>
    <w:rsid w:val="00CE202E"/>
    <w:rsid w:val="00CE2229"/>
    <w:rsid w:val="00CE374E"/>
    <w:rsid w:val="00CF0215"/>
    <w:rsid w:val="00CF0534"/>
    <w:rsid w:val="00CF1F37"/>
    <w:rsid w:val="00CF3FF0"/>
    <w:rsid w:val="00CF41AF"/>
    <w:rsid w:val="00CF4567"/>
    <w:rsid w:val="00CF53AB"/>
    <w:rsid w:val="00CF6815"/>
    <w:rsid w:val="00D04562"/>
    <w:rsid w:val="00D04D3D"/>
    <w:rsid w:val="00D11B02"/>
    <w:rsid w:val="00D1202C"/>
    <w:rsid w:val="00D12617"/>
    <w:rsid w:val="00D13798"/>
    <w:rsid w:val="00D15241"/>
    <w:rsid w:val="00D1681E"/>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2918"/>
    <w:rsid w:val="00D53EC6"/>
    <w:rsid w:val="00D55A00"/>
    <w:rsid w:val="00D55FD1"/>
    <w:rsid w:val="00D56F77"/>
    <w:rsid w:val="00D61E9F"/>
    <w:rsid w:val="00D62CC8"/>
    <w:rsid w:val="00D6402F"/>
    <w:rsid w:val="00D648BC"/>
    <w:rsid w:val="00D7047A"/>
    <w:rsid w:val="00D719E9"/>
    <w:rsid w:val="00D72225"/>
    <w:rsid w:val="00D72FA9"/>
    <w:rsid w:val="00D73550"/>
    <w:rsid w:val="00D73D51"/>
    <w:rsid w:val="00D74D47"/>
    <w:rsid w:val="00D767BD"/>
    <w:rsid w:val="00D8277B"/>
    <w:rsid w:val="00D838F7"/>
    <w:rsid w:val="00D8479E"/>
    <w:rsid w:val="00D8638E"/>
    <w:rsid w:val="00D868F1"/>
    <w:rsid w:val="00D87EFF"/>
    <w:rsid w:val="00D91AE6"/>
    <w:rsid w:val="00D941A2"/>
    <w:rsid w:val="00D941E0"/>
    <w:rsid w:val="00D943D0"/>
    <w:rsid w:val="00D95840"/>
    <w:rsid w:val="00DA21BA"/>
    <w:rsid w:val="00DA2DAD"/>
    <w:rsid w:val="00DA554C"/>
    <w:rsid w:val="00DA5F07"/>
    <w:rsid w:val="00DB2EA8"/>
    <w:rsid w:val="00DB42FB"/>
    <w:rsid w:val="00DB44B1"/>
    <w:rsid w:val="00DB7AEE"/>
    <w:rsid w:val="00DC10BC"/>
    <w:rsid w:val="00DC39C4"/>
    <w:rsid w:val="00DC4019"/>
    <w:rsid w:val="00DC4568"/>
    <w:rsid w:val="00DC470E"/>
    <w:rsid w:val="00DC7087"/>
    <w:rsid w:val="00DD0941"/>
    <w:rsid w:val="00DD1C47"/>
    <w:rsid w:val="00DD5AAF"/>
    <w:rsid w:val="00DD6B5E"/>
    <w:rsid w:val="00DD6C69"/>
    <w:rsid w:val="00DE21B1"/>
    <w:rsid w:val="00DE4BF6"/>
    <w:rsid w:val="00DE69D0"/>
    <w:rsid w:val="00DE7070"/>
    <w:rsid w:val="00DE77A3"/>
    <w:rsid w:val="00DF02F6"/>
    <w:rsid w:val="00DF21B8"/>
    <w:rsid w:val="00DF31EE"/>
    <w:rsid w:val="00DF3395"/>
    <w:rsid w:val="00DF5635"/>
    <w:rsid w:val="00DF7681"/>
    <w:rsid w:val="00E01C69"/>
    <w:rsid w:val="00E02D36"/>
    <w:rsid w:val="00E03431"/>
    <w:rsid w:val="00E04E43"/>
    <w:rsid w:val="00E05C7E"/>
    <w:rsid w:val="00E05E74"/>
    <w:rsid w:val="00E079A3"/>
    <w:rsid w:val="00E111F1"/>
    <w:rsid w:val="00E149CE"/>
    <w:rsid w:val="00E15A06"/>
    <w:rsid w:val="00E16AC4"/>
    <w:rsid w:val="00E17C58"/>
    <w:rsid w:val="00E2178D"/>
    <w:rsid w:val="00E23958"/>
    <w:rsid w:val="00E23AD4"/>
    <w:rsid w:val="00E23BEC"/>
    <w:rsid w:val="00E23EC3"/>
    <w:rsid w:val="00E24E4D"/>
    <w:rsid w:val="00E2618B"/>
    <w:rsid w:val="00E262A5"/>
    <w:rsid w:val="00E267F1"/>
    <w:rsid w:val="00E3023D"/>
    <w:rsid w:val="00E34E73"/>
    <w:rsid w:val="00E375C8"/>
    <w:rsid w:val="00E40388"/>
    <w:rsid w:val="00E4302B"/>
    <w:rsid w:val="00E4452C"/>
    <w:rsid w:val="00E46A15"/>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04D"/>
    <w:rsid w:val="00E760FB"/>
    <w:rsid w:val="00E76686"/>
    <w:rsid w:val="00E76876"/>
    <w:rsid w:val="00E80520"/>
    <w:rsid w:val="00E81BD0"/>
    <w:rsid w:val="00E83C98"/>
    <w:rsid w:val="00E840FE"/>
    <w:rsid w:val="00E84DBD"/>
    <w:rsid w:val="00E85031"/>
    <w:rsid w:val="00E879C6"/>
    <w:rsid w:val="00E9128A"/>
    <w:rsid w:val="00E91C15"/>
    <w:rsid w:val="00E943E8"/>
    <w:rsid w:val="00E945CE"/>
    <w:rsid w:val="00E94FAF"/>
    <w:rsid w:val="00E9724F"/>
    <w:rsid w:val="00E976B0"/>
    <w:rsid w:val="00EA0528"/>
    <w:rsid w:val="00EA1964"/>
    <w:rsid w:val="00EA347E"/>
    <w:rsid w:val="00EA38B4"/>
    <w:rsid w:val="00EA4E02"/>
    <w:rsid w:val="00EA6276"/>
    <w:rsid w:val="00EB048C"/>
    <w:rsid w:val="00EB2C67"/>
    <w:rsid w:val="00EB367C"/>
    <w:rsid w:val="00EB43BA"/>
    <w:rsid w:val="00EB4429"/>
    <w:rsid w:val="00EB46D0"/>
    <w:rsid w:val="00EB4700"/>
    <w:rsid w:val="00EB7BE6"/>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1364"/>
    <w:rsid w:val="00EF2F5C"/>
    <w:rsid w:val="00EF3A92"/>
    <w:rsid w:val="00EF7590"/>
    <w:rsid w:val="00EF7829"/>
    <w:rsid w:val="00F024CA"/>
    <w:rsid w:val="00F02A20"/>
    <w:rsid w:val="00F0354F"/>
    <w:rsid w:val="00F1013F"/>
    <w:rsid w:val="00F10A99"/>
    <w:rsid w:val="00F11785"/>
    <w:rsid w:val="00F138A2"/>
    <w:rsid w:val="00F154EB"/>
    <w:rsid w:val="00F16418"/>
    <w:rsid w:val="00F20632"/>
    <w:rsid w:val="00F231C6"/>
    <w:rsid w:val="00F23738"/>
    <w:rsid w:val="00F2392E"/>
    <w:rsid w:val="00F23E6E"/>
    <w:rsid w:val="00F26234"/>
    <w:rsid w:val="00F27D7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5932"/>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651A"/>
    <w:rsid w:val="00FC0CB3"/>
    <w:rsid w:val="00FC2999"/>
    <w:rsid w:val="00FC765F"/>
    <w:rsid w:val="00FC781D"/>
    <w:rsid w:val="00FD1861"/>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 w:val="00FF6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D720B"/>
  <w15:docId w15:val="{59B4C46A-F871-4A82-992E-B346C288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1-Abstract">
    <w:name w:val="Heading 1 - Abstract"/>
    <w:basedOn w:val="Heading1"/>
    <w:qFormat/>
    <w:rsid w:val="004107F8"/>
    <w:pPr>
      <w:numPr>
        <w:numId w:val="24"/>
      </w:numPr>
      <w:spacing w:before="300" w:after="200"/>
      <w:ind w:left="360" w:right="360"/>
    </w:pPr>
  </w:style>
  <w:style w:type="paragraph" w:styleId="Bibliography">
    <w:name w:val="Bibliography"/>
    <w:basedOn w:val="Normal"/>
    <w:next w:val="Normal"/>
    <w:uiPriority w:val="37"/>
    <w:unhideWhenUsed/>
    <w:rsid w:val="00894613"/>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8500">
      <w:bodyDiv w:val="1"/>
      <w:marLeft w:val="0"/>
      <w:marRight w:val="0"/>
      <w:marTop w:val="0"/>
      <w:marBottom w:val="0"/>
      <w:divBdr>
        <w:top w:val="none" w:sz="0" w:space="0" w:color="auto"/>
        <w:left w:val="none" w:sz="0" w:space="0" w:color="auto"/>
        <w:bottom w:val="none" w:sz="0" w:space="0" w:color="auto"/>
        <w:right w:val="none" w:sz="0" w:space="0" w:color="auto"/>
      </w:divBdr>
      <w:divsChild>
        <w:div w:id="187180742">
          <w:marLeft w:val="432"/>
          <w:marRight w:val="0"/>
          <w:marTop w:val="96"/>
          <w:marBottom w:val="0"/>
          <w:divBdr>
            <w:top w:val="none" w:sz="0" w:space="0" w:color="auto"/>
            <w:left w:val="none" w:sz="0" w:space="0" w:color="auto"/>
            <w:bottom w:val="none" w:sz="0" w:space="0" w:color="auto"/>
            <w:right w:val="none" w:sz="0" w:space="0" w:color="auto"/>
          </w:divBdr>
        </w:div>
        <w:div w:id="1737364178">
          <w:marLeft w:val="864"/>
          <w:marRight w:val="0"/>
          <w:marTop w:val="86"/>
          <w:marBottom w:val="0"/>
          <w:divBdr>
            <w:top w:val="none" w:sz="0" w:space="0" w:color="auto"/>
            <w:left w:val="none" w:sz="0" w:space="0" w:color="auto"/>
            <w:bottom w:val="none" w:sz="0" w:space="0" w:color="auto"/>
            <w:right w:val="none" w:sz="0" w:space="0" w:color="auto"/>
          </w:divBdr>
        </w:div>
      </w:divsChild>
    </w:div>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tcc-ca.com/reports/energy-savings-permanent-magnet-synchronous-motors-refrigerated-case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etcc-ca.com/reports/energy-savings-permanent-magnet-synchronous-motors-refrigerated-cas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tcc-ca.com/reports/energy-savings-permanent-magnet-synchronous-motors-refrigerated-cas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tcc-ca.com/reports/energy-savings-permanent-magnet-synchronous-motors-refrigerated-cases" TargetMode="External"/><Relationship Id="rId28" Type="http://schemas.openxmlformats.org/officeDocument/2006/relationships/hyperlink" Target="http://info.ornl.gov/sites/publications/files/Pub58600.pdf" TargetMode="External"/><Relationship Id="rId10" Type="http://schemas.openxmlformats.org/officeDocument/2006/relationships/endnotes" Target="endnotes.xml"/><Relationship Id="rId19" Type="http://schemas.openxmlformats.org/officeDocument/2006/relationships/hyperlink" Target="http://www.etcc-ca.com/reports/energy-savings-permanent-magnet-synchronous-motors-refrigerated-cas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tcc-ca.com/reports/energy-savings-permanent-magnet-synchronous-motors-refrigerated-cases" TargetMode="External"/><Relationship Id="rId27" Type="http://schemas.openxmlformats.org/officeDocument/2006/relationships/hyperlink" Target="http://www.etcc-ca.com/reports/energy-savings-permanent-magnet-synchronous-motors-refrigerated-cases" TargetMode="Externa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ED26DBB77D14CBDD35401EA8BA69A" ma:contentTypeVersion="2" ma:contentTypeDescription="Create a new document." ma:contentTypeScope="" ma:versionID="0b5c59370c6e8653f205251512fb38ab">
  <xsd:schema xmlns:xsd="http://www.w3.org/2001/XMLSchema" xmlns:xs="http://www.w3.org/2001/XMLSchema" xmlns:p="http://schemas.microsoft.com/office/2006/metadata/properties" xmlns:ns2="da71d01b-0173-42d4-bd9e-03574c50f54f" targetNamespace="http://schemas.microsoft.com/office/2006/metadata/properties" ma:root="true" ma:fieldsID="1b294cef9f55a4ae974fade0fe84227e" ns2:_="">
    <xsd:import namespace="da71d01b-0173-42d4-bd9e-03574c50f5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d01b-0173-42d4-bd9e-03574c50f5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Fri15</b:Tag>
    <b:SourceType>Report</b:SourceType>
    <b:Guid>{5A03A252-B8B1-471B-886A-6E549DD7BC63}</b:Guid>
    <b:Author>
      <b:Author>
        <b:NameList>
          <b:Person>
            <b:Last>Fricke</b:Last>
            <b:First>Brian</b:First>
          </b:Person>
          <b:Person>
            <b:Last>Becker</b:Last>
            <b:First>Bryan</b:First>
          </b:Person>
        </b:NameList>
      </b:Author>
    </b:Author>
    <b:Title>Q-Sync Motors in Commercial Refrigeration: Preliminary Test Results and Projected Benefits, ORNL/TM-2015/466</b:Title>
    <b:Year>2015</b:Year>
    <b:Publisher>Oak Ridge National Laboratory</b:Publisher>
    <b:RefOrder>1</b:RefOrder>
  </b:Source>
  <b:Source>
    <b:Tag>NCI13</b:Tag>
    <b:SourceType>Report</b:SourceType>
    <b:Guid>{166D9064-70BE-40B2-AF1E-352C0BC5EFEE}</b:Guid>
    <b:Author>
      <b:Author>
        <b:Corporate>NCI</b:Corporate>
      </b:Author>
    </b:Author>
    <b:Title>Energy Savings Potential and Opportunities for High-Efficiency Electric Motors in Residential and Commercial Equipment</b:Title>
    <b:Year>2013</b:Year>
    <b:Publisher>Building Technologies Program, Office of Energy Efficiency and Renewable Energy, US Department of Energy</b:Publisher>
    <b:City>Washington, D.C.</b:City>
    <b:RefOrder>2</b:RefOrder>
  </b:Source>
  <b:Source>
    <b:Tag>ASH14</b:Tag>
    <b:SourceType>Book</b:SourceType>
    <b:Guid>{14D30096-95F1-4A4F-BCCB-7CD0C287625E}</b:Guid>
    <b:Title>2014 ASHRAE Handbook - Refrigeration</b:Title>
    <b:Year>2014</b:Year>
    <b:City>Atlanta</b:City>
    <b:Author>
      <b:Author>
        <b:Corporate>ASHRAE</b:Corporate>
      </b:Author>
    </b:Author>
    <b:RefOrder>4</b:RefOrder>
  </b:Source>
  <b:Source>
    <b:Tag>Far99</b:Tag>
    <b:SourceType>JournalArticle</b:SourceType>
    <b:Guid>{C23DDF90-C1B6-40A3-A40C-C52BB514A7EE}</b:Guid>
    <b:Title>Efficient Display Case Refrigeration</b:Title>
    <b:Year>1999</b:Year>
    <b:Author>
      <b:Author>
        <b:NameList>
          <b:Person>
            <b:Last>Faramarzi</b:Last>
            <b:First>Ramin</b:First>
          </b:Person>
        </b:NameList>
      </b:Author>
    </b:Author>
    <b:JournalName>ASHRAE Journal</b:JournalName>
    <b:Pages>46-52</b:Pages>
    <b:RefOrder>5</b:RefOrder>
  </b:Source>
  <b:Source>
    <b:Tag>Kom98</b:Tag>
    <b:SourceType>JournalArticle</b:SourceType>
    <b:Guid>{69E2F532-3497-409C-B5E3-43700E4806FE}</b:Guid>
    <b:Author>
      <b:Author>
        <b:NameList>
          <b:Person>
            <b:Last>Komor</b:Last>
            <b:First>P.</b:First>
          </b:Person>
          <b:Person>
            <b:Last>C. Fong</b:Last>
            <b:First>and</b:First>
            <b:Middle>J. Nelson</b:Middle>
          </b:Person>
        </b:NameList>
      </b:Author>
    </b:Author>
    <b:Title>Delivering energy services to supermarkets and grocery stores</b:Title>
    <b:JournalName>E Source</b:JournalName>
    <b:Year>1998</b:Year>
    <b:RefOrder>12</b:RefOrder>
  </b:Source>
  <b:Source>
    <b:Tag>Law16</b:Tag>
    <b:SourceType>InternetSite</b:SourceType>
    <b:Guid>{B1FE96FF-4AB0-44D2-9D0B-8BBFC29B84E7}</b:Guid>
    <b:Title>Building Performance Databas</b:Title>
    <b:Year>2016</b:Year>
    <b:Month>January</b:Month>
    <b:Author>
      <b:Author>
        <b:Corporate>Lawrence Livermore Laboratory</b:Corporate>
      </b:Author>
    </b:Author>
    <b:URL>https://bpd.lbl.gov/#explore</b:URL>
    <b:RefOrder>3</b:RefOrder>
  </b:Source>
  <b:Source>
    <b:Tag>USC13</b:Tag>
    <b:SourceType>ElectronicSource</b:SourceType>
    <b:Guid>{704D6104-A9DB-419C-A583-31BA1E2ACF2C}</b:Guid>
    <b:Title>County Business Patterns (NAICS)</b:Title>
    <b:Year>2013</b:Year>
    <b:Author>
      <b:Author>
        <b:Corporate>US Census Bureau</b:Corporate>
      </b:Author>
    </b:Author>
    <b:RefOrder>6</b:RefOrder>
  </b:Source>
  <b:Source>
    <b:Tag>Kar06</b:Tag>
    <b:SourceType>Report</b:SourceType>
    <b:Guid>{717B5A23-F64C-4B2F-BA0E-17CE46B9EAD5}</b:Guid>
    <b:Title>GE ECM Evaporator Fan Motor Energy Monitoring</b:Title>
    <b:Year>2006</b:Year>
    <b:Publisher>Fisher-Nickel, Inc. and Pacific Gas &amp; Electric</b:Publisher>
    <b:Author>
      <b:Author>
        <b:NameList>
          <b:Person>
            <b:Last>Karas</b:Last>
            <b:First>Angelo</b:First>
          </b:Person>
        </b:NameList>
      </b:Author>
    </b:Author>
    <b:RefOrder>7</b:RefOrder>
  </b:Source>
  <b:Source>
    <b:Tag>NCI11</b:Tag>
    <b:SourceType>Report</b:SourceType>
    <b:Guid>{9CDEDC64-C450-4571-8642-4BCA606EF760}</b:Guid>
    <b:Author>
      <b:Author>
        <b:Corporate>NCI and PNNL</b:Corporate>
      </b:Author>
    </b:Author>
    <b:Title>Preliminary Technical Support Document: Energy Conservation Program for Certain Commercial and Industrial Equipment: Commercial Refrigeration Equipment</b:Title>
    <b:Year>2011</b:Year>
    <b:Publisher>Building Technologies Program, Office of Energy Efficiency and Renewable Energy, US Department of Energy</b:Publisher>
    <b:City>Washington, D.C.</b:City>
    <b:RefOrder>8</b:RefOrder>
  </b:Source>
  <b:Source>
    <b:Tag>Der07</b:Tag>
    <b:SourceType>Report</b:SourceType>
    <b:Guid>{4ACDB08F-6617-47C6-8D4F-4B234F6C53FE}</b:Guid>
    <b:Title>Source Energy and Emission Factors for Energy Use in Buildings</b:Title>
    <b:Year>2007</b:Year>
    <b:Author>
      <b:Author>
        <b:NameList>
          <b:Person>
            <b:Last>Deru</b:Last>
            <b:First>M.</b:First>
            <b:Middle>and Torcellini, P.</b:Middle>
          </b:Person>
        </b:NameList>
      </b:Author>
    </b:Author>
    <b:Publisher>NREL, Office of Energy Efficiency and Renewable Energy, U.S. Department of Energy</b:Publisher>
    <b:RefOrder>9</b:RefOrder>
  </b:Source>
  <b:Source>
    <b:Tag>Ene15</b:Tag>
    <b:SourceType>ElectronicSource</b:SourceType>
    <b:Guid>{EB84A758-529C-43A1-990C-DA5E7774C985}</b:Guid>
    <b:Title>Electric Power Monthly</b:Title>
    <b:Year>2015</b:Year>
    <b:Author>
      <b:Author>
        <b:Corporate>Energy Information Administration</b:Corporate>
      </b:Author>
    </b:Author>
    <b:Month>October</b:Month>
    <b:RefOrder>10</b:RefOrder>
  </b:Source>
  <b:Source>
    <b:Tag>USD</b:Tag>
    <b:SourceType>ElectronicSource</b:SourceType>
    <b:Guid>{83CFDE2A-9098-41FA-8C26-0AA47F9EFA7E}</b:Guid>
    <b:Title>Buildings Energy Data Book</b:Title>
    <b:Author>
      <b:Author>
        <b:Corporate>U.S. DOE</b:Corporate>
      </b:Author>
    </b:Author>
    <b:RefOrder>11</b:RefOrder>
  </b:Source>
</b:Sources>
</file>

<file path=customXml/itemProps1.xml><?xml version="1.0" encoding="utf-8"?>
<ds:datastoreItem xmlns:ds="http://schemas.openxmlformats.org/officeDocument/2006/customXml" ds:itemID="{86084C04-6769-44CA-A11C-970F3018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d01b-0173-42d4-bd9e-03574c50f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C4E56-104E-4524-9907-9F647E8A4177}">
  <ds:schemaRefs>
    <ds:schemaRef ds:uri="http://purl.org/dc/elements/1.1/"/>
    <ds:schemaRef ds:uri="http://schemas.microsoft.com/office/2006/documentManagement/types"/>
    <ds:schemaRef ds:uri="da71d01b-0173-42d4-bd9e-03574c50f54f"/>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4.xml><?xml version="1.0" encoding="utf-8"?>
<ds:datastoreItem xmlns:ds="http://schemas.openxmlformats.org/officeDocument/2006/customXml" ds:itemID="{972E9DB0-CE79-48AB-BBD4-D702A511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32</TotalTime>
  <Pages>15</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25269</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subject/>
  <dc:creator>Steven Blanc</dc:creator>
  <cp:keywords/>
  <dc:description/>
  <cp:lastModifiedBy>M M Valmiki</cp:lastModifiedBy>
  <cp:revision>5</cp:revision>
  <cp:lastPrinted>2014-04-11T17:48:00Z</cp:lastPrinted>
  <dcterms:created xsi:type="dcterms:W3CDTF">2016-05-23T20:01:00Z</dcterms:created>
  <dcterms:modified xsi:type="dcterms:W3CDTF">2016-05-23T20:33:00Z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0x01010028DED26DBB77D14CBDD35401EA8BA69A</vt:lpwstr>
  </property>
</Properties>
</file>